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4C" w:rsidRPr="000F4929" w:rsidRDefault="00F4744C" w:rsidP="000F4929">
      <w:pPr>
        <w:keepNext/>
        <w:keepLines/>
        <w:jc w:val="both"/>
        <w:rPr>
          <w:b/>
          <w:bCs/>
          <w:sz w:val="28"/>
          <w:szCs w:val="28"/>
        </w:rPr>
      </w:pPr>
      <w:bookmarkStart w:id="0" w:name="bookmark0"/>
      <w:bookmarkStart w:id="1" w:name="bookmark1"/>
      <w:r w:rsidRPr="000F4929">
        <w:rPr>
          <w:b/>
          <w:bCs/>
          <w:sz w:val="28"/>
          <w:szCs w:val="28"/>
        </w:rPr>
        <w:t xml:space="preserve">         </w:t>
      </w:r>
      <w:r w:rsidR="00DC3F7A">
        <w:rPr>
          <w:b/>
          <w:bCs/>
          <w:sz w:val="28"/>
          <w:szCs w:val="28"/>
        </w:rPr>
        <w:t xml:space="preserve">Raport o sytuacji </w:t>
      </w:r>
      <w:proofErr w:type="spellStart"/>
      <w:r w:rsidR="00DC3F7A">
        <w:rPr>
          <w:b/>
          <w:bCs/>
          <w:sz w:val="28"/>
          <w:szCs w:val="28"/>
        </w:rPr>
        <w:t>ekonomiczno</w:t>
      </w:r>
      <w:proofErr w:type="spellEnd"/>
      <w:r w:rsidR="00DC3F7A">
        <w:rPr>
          <w:b/>
          <w:bCs/>
          <w:sz w:val="28"/>
          <w:szCs w:val="28"/>
        </w:rPr>
        <w:t xml:space="preserve"> –finansowej </w:t>
      </w:r>
    </w:p>
    <w:p w:rsidR="00F4744C" w:rsidRPr="000F4929" w:rsidRDefault="00F4744C" w:rsidP="000F4929">
      <w:pPr>
        <w:keepNext/>
        <w:keepLines/>
        <w:jc w:val="both"/>
        <w:rPr>
          <w:b/>
          <w:bCs/>
          <w:sz w:val="28"/>
          <w:szCs w:val="28"/>
        </w:rPr>
      </w:pPr>
      <w:r w:rsidRPr="000F4929">
        <w:rPr>
          <w:b/>
          <w:bCs/>
          <w:sz w:val="28"/>
          <w:szCs w:val="28"/>
        </w:rPr>
        <w:t xml:space="preserve">       Samodzielnego Szpitala Miejskiego im. PCK </w:t>
      </w:r>
    </w:p>
    <w:p w:rsidR="00F4744C" w:rsidRPr="000F4929" w:rsidRDefault="00F4744C" w:rsidP="000F4929">
      <w:pPr>
        <w:keepNext/>
        <w:keepLines/>
        <w:jc w:val="both"/>
        <w:rPr>
          <w:b/>
          <w:bCs/>
          <w:sz w:val="28"/>
          <w:szCs w:val="28"/>
        </w:rPr>
      </w:pPr>
      <w:r w:rsidRPr="000F4929">
        <w:rPr>
          <w:b/>
          <w:bCs/>
          <w:sz w:val="28"/>
          <w:szCs w:val="28"/>
        </w:rPr>
        <w:t xml:space="preserve">                W Białymstoku    </w:t>
      </w:r>
    </w:p>
    <w:p w:rsidR="00F4744C" w:rsidRPr="000F4929" w:rsidRDefault="00F4744C" w:rsidP="000F4929">
      <w:pPr>
        <w:keepNext/>
        <w:keepLines/>
        <w:jc w:val="both"/>
        <w:rPr>
          <w:b/>
          <w:bCs/>
          <w:sz w:val="28"/>
          <w:szCs w:val="28"/>
        </w:rPr>
      </w:pPr>
      <w:r w:rsidRPr="000F4929">
        <w:rPr>
          <w:b/>
          <w:bCs/>
          <w:sz w:val="28"/>
          <w:szCs w:val="28"/>
        </w:rPr>
        <w:t xml:space="preserve"> </w:t>
      </w:r>
    </w:p>
    <w:p w:rsidR="00DD71FF" w:rsidRPr="000F4929" w:rsidRDefault="00DC3F7A" w:rsidP="000F4929">
      <w:pPr>
        <w:pStyle w:val="Nagwek11"/>
        <w:keepNext/>
        <w:keepLines/>
        <w:numPr>
          <w:ilvl w:val="0"/>
          <w:numId w:val="7"/>
        </w:numPr>
        <w:shd w:val="clear" w:color="auto" w:fill="auto"/>
        <w:spacing w:after="0"/>
        <w:ind w:left="98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6936F7" w:rsidRPr="000F4929">
        <w:rPr>
          <w:b/>
          <w:bCs/>
          <w:sz w:val="28"/>
          <w:szCs w:val="28"/>
        </w:rPr>
        <w:t>prowadzenie do Raportu</w:t>
      </w:r>
      <w:r w:rsidR="006936F7" w:rsidRPr="000F4929">
        <w:rPr>
          <w:b/>
          <w:bCs/>
          <w:smallCaps w:val="0"/>
          <w:sz w:val="28"/>
          <w:szCs w:val="28"/>
        </w:rPr>
        <w:t xml:space="preserve"> </w:t>
      </w:r>
      <w:r>
        <w:rPr>
          <w:b/>
          <w:bCs/>
          <w:smallCaps w:val="0"/>
          <w:sz w:val="28"/>
          <w:szCs w:val="28"/>
        </w:rPr>
        <w:t xml:space="preserve">o </w:t>
      </w:r>
      <w:r w:rsidR="00F4744C" w:rsidRPr="000F4929">
        <w:rPr>
          <w:b/>
          <w:bCs/>
          <w:smallCaps w:val="0"/>
          <w:sz w:val="28"/>
          <w:szCs w:val="28"/>
        </w:rPr>
        <w:t xml:space="preserve">  </w:t>
      </w:r>
      <w:r w:rsidR="006936F7" w:rsidRPr="000F4929">
        <w:rPr>
          <w:b/>
          <w:bCs/>
          <w:sz w:val="28"/>
          <w:szCs w:val="28"/>
        </w:rPr>
        <w:t xml:space="preserve">sytuacji </w:t>
      </w:r>
      <w:r w:rsidR="00F664B4" w:rsidRPr="000F4929">
        <w:rPr>
          <w:b/>
          <w:bCs/>
          <w:sz w:val="28"/>
          <w:szCs w:val="28"/>
        </w:rPr>
        <w:t xml:space="preserve"> </w:t>
      </w:r>
      <w:proofErr w:type="spellStart"/>
      <w:r w:rsidR="006936F7" w:rsidRPr="000F4929">
        <w:rPr>
          <w:b/>
          <w:bCs/>
          <w:sz w:val="28"/>
          <w:szCs w:val="28"/>
        </w:rPr>
        <w:t>ekonomiczno</w:t>
      </w:r>
      <w:proofErr w:type="spellEnd"/>
      <w:r w:rsidR="006936F7" w:rsidRPr="000F4929">
        <w:rPr>
          <w:b/>
          <w:bCs/>
          <w:smallCaps w:val="0"/>
          <w:sz w:val="28"/>
          <w:szCs w:val="28"/>
        </w:rPr>
        <w:t xml:space="preserve"> </w:t>
      </w:r>
      <w:r w:rsidR="00851302" w:rsidRPr="000F4929">
        <w:rPr>
          <w:b/>
          <w:bCs/>
          <w:smallCaps w:val="0"/>
          <w:sz w:val="28"/>
          <w:szCs w:val="28"/>
        </w:rPr>
        <w:t>–</w:t>
      </w:r>
      <w:r w:rsidR="006936F7" w:rsidRPr="000F4929">
        <w:rPr>
          <w:b/>
          <w:bCs/>
          <w:smallCaps w:val="0"/>
          <w:sz w:val="28"/>
          <w:szCs w:val="28"/>
        </w:rPr>
        <w:t xml:space="preserve"> </w:t>
      </w:r>
      <w:r>
        <w:rPr>
          <w:b/>
          <w:bCs/>
          <w:smallCaps w:val="0"/>
          <w:sz w:val="28"/>
          <w:szCs w:val="28"/>
        </w:rPr>
        <w:t xml:space="preserve">      </w:t>
      </w:r>
      <w:r w:rsidR="006936F7" w:rsidRPr="000F4929">
        <w:rPr>
          <w:b/>
          <w:bCs/>
          <w:sz w:val="28"/>
          <w:szCs w:val="28"/>
        </w:rPr>
        <w:t>finansowej</w:t>
      </w:r>
      <w:bookmarkEnd w:id="0"/>
      <w:bookmarkEnd w:id="1"/>
    </w:p>
    <w:p w:rsidR="00F34AE1" w:rsidRPr="000F4929" w:rsidRDefault="00F34AE1" w:rsidP="000F4929">
      <w:pPr>
        <w:pStyle w:val="Nagwek11"/>
        <w:keepNext/>
        <w:keepLines/>
        <w:shd w:val="clear" w:color="auto" w:fill="auto"/>
        <w:spacing w:after="0"/>
        <w:ind w:left="981" w:firstLine="0"/>
        <w:jc w:val="both"/>
        <w:rPr>
          <w:b/>
          <w:bCs/>
          <w:sz w:val="28"/>
          <w:szCs w:val="28"/>
        </w:rPr>
      </w:pPr>
    </w:p>
    <w:p w:rsidR="00851302" w:rsidRPr="000F4929" w:rsidRDefault="00851302" w:rsidP="000F4929">
      <w:pPr>
        <w:pStyle w:val="Nagwek11"/>
        <w:keepNext/>
        <w:keepLines/>
        <w:shd w:val="clear" w:color="auto" w:fill="auto"/>
        <w:spacing w:after="0"/>
        <w:ind w:left="261" w:firstLine="0"/>
        <w:jc w:val="both"/>
        <w:rPr>
          <w:bCs/>
          <w:sz w:val="28"/>
          <w:szCs w:val="28"/>
        </w:rPr>
      </w:pPr>
      <w:r w:rsidRPr="000F4929">
        <w:rPr>
          <w:bCs/>
          <w:sz w:val="28"/>
          <w:szCs w:val="28"/>
        </w:rPr>
        <w:t xml:space="preserve">         Cel utworzenia programu naprawczego to spełnienie warunków ustawowych identyfikacja obszarów ustawowych oraz wprowadzenie procesów mających na celu restrukturyzację wybranych obszarów, w związku z wynikiem finansowym osiągniętym w 201</w:t>
      </w:r>
      <w:r w:rsidR="00DC3F7A">
        <w:rPr>
          <w:bCs/>
          <w:sz w:val="28"/>
          <w:szCs w:val="28"/>
        </w:rPr>
        <w:t>9</w:t>
      </w:r>
      <w:r w:rsidRPr="000F4929">
        <w:rPr>
          <w:bCs/>
          <w:sz w:val="28"/>
          <w:szCs w:val="28"/>
        </w:rPr>
        <w:t xml:space="preserve"> roku.</w:t>
      </w:r>
    </w:p>
    <w:p w:rsidR="00F34AE1" w:rsidRPr="000F4929" w:rsidRDefault="00F34AE1" w:rsidP="000F4929">
      <w:pPr>
        <w:pStyle w:val="Nagwek11"/>
        <w:keepNext/>
        <w:keepLines/>
        <w:shd w:val="clear" w:color="auto" w:fill="auto"/>
        <w:spacing w:after="0"/>
        <w:ind w:left="261" w:firstLine="0"/>
        <w:jc w:val="both"/>
        <w:rPr>
          <w:b/>
          <w:bCs/>
          <w:sz w:val="28"/>
          <w:szCs w:val="28"/>
        </w:rPr>
      </w:pPr>
    </w:p>
    <w:p w:rsidR="00DD71FF" w:rsidRPr="000F4929" w:rsidRDefault="006936F7" w:rsidP="000F4929">
      <w:pPr>
        <w:pStyle w:val="Teksttreci0"/>
        <w:numPr>
          <w:ilvl w:val="0"/>
          <w:numId w:val="1"/>
        </w:numPr>
        <w:shd w:val="clear" w:color="auto" w:fill="auto"/>
        <w:tabs>
          <w:tab w:val="left" w:pos="935"/>
        </w:tabs>
        <w:spacing w:line="386" w:lineRule="auto"/>
        <w:ind w:left="920" w:hanging="320"/>
        <w:jc w:val="both"/>
        <w:rPr>
          <w:sz w:val="28"/>
          <w:szCs w:val="28"/>
        </w:rPr>
      </w:pPr>
      <w:r w:rsidRPr="000F4929">
        <w:rPr>
          <w:color w:val="383838"/>
          <w:sz w:val="28"/>
          <w:szCs w:val="28"/>
        </w:rPr>
        <w:t xml:space="preserve">Nazwa firmy: Samodzielny </w:t>
      </w:r>
      <w:r w:rsidR="00390850" w:rsidRPr="000F4929">
        <w:rPr>
          <w:color w:val="383838"/>
          <w:sz w:val="28"/>
          <w:szCs w:val="28"/>
        </w:rPr>
        <w:t>Szpital Miejski im. PCK w Białymstoku</w:t>
      </w:r>
      <w:r w:rsidRPr="000F4929">
        <w:rPr>
          <w:color w:val="383838"/>
          <w:sz w:val="28"/>
          <w:szCs w:val="28"/>
        </w:rPr>
        <w:t>.</w:t>
      </w:r>
    </w:p>
    <w:p w:rsidR="00DD71FF" w:rsidRPr="000F4929" w:rsidRDefault="006936F7" w:rsidP="000F4929">
      <w:pPr>
        <w:pStyle w:val="Teksttreci0"/>
        <w:numPr>
          <w:ilvl w:val="0"/>
          <w:numId w:val="1"/>
        </w:numPr>
        <w:shd w:val="clear" w:color="auto" w:fill="auto"/>
        <w:tabs>
          <w:tab w:val="left" w:pos="935"/>
        </w:tabs>
        <w:spacing w:line="374" w:lineRule="auto"/>
        <w:ind w:firstLine="580"/>
        <w:jc w:val="both"/>
        <w:rPr>
          <w:sz w:val="28"/>
          <w:szCs w:val="28"/>
        </w:rPr>
      </w:pPr>
      <w:r w:rsidRPr="000F4929">
        <w:rPr>
          <w:color w:val="383838"/>
          <w:sz w:val="28"/>
          <w:szCs w:val="28"/>
        </w:rPr>
        <w:t xml:space="preserve">Siedziba firmy: </w:t>
      </w:r>
      <w:r w:rsidR="00390850" w:rsidRPr="000F4929">
        <w:rPr>
          <w:color w:val="383838"/>
          <w:sz w:val="28"/>
          <w:szCs w:val="28"/>
        </w:rPr>
        <w:t>15-003 Białystok ul. Sienkiewicza 79</w:t>
      </w:r>
      <w:r w:rsidRPr="000F4929">
        <w:rPr>
          <w:color w:val="383838"/>
          <w:sz w:val="28"/>
          <w:szCs w:val="28"/>
        </w:rPr>
        <w:t>.</w:t>
      </w:r>
    </w:p>
    <w:p w:rsidR="00DD71FF" w:rsidRPr="000F4929" w:rsidRDefault="006936F7" w:rsidP="000F4929">
      <w:pPr>
        <w:pStyle w:val="Teksttreci0"/>
        <w:numPr>
          <w:ilvl w:val="0"/>
          <w:numId w:val="1"/>
        </w:numPr>
        <w:shd w:val="clear" w:color="auto" w:fill="auto"/>
        <w:tabs>
          <w:tab w:val="left" w:pos="935"/>
        </w:tabs>
        <w:spacing w:line="374" w:lineRule="auto"/>
        <w:ind w:left="920" w:hanging="320"/>
        <w:jc w:val="both"/>
        <w:rPr>
          <w:sz w:val="28"/>
          <w:szCs w:val="28"/>
        </w:rPr>
      </w:pPr>
      <w:r w:rsidRPr="000F4929">
        <w:rPr>
          <w:color w:val="383838"/>
          <w:sz w:val="28"/>
          <w:szCs w:val="28"/>
        </w:rPr>
        <w:t>Podstawowym przedmiotem działalności Zakładu jest</w:t>
      </w:r>
      <w:r w:rsidR="00390850" w:rsidRPr="000F4929">
        <w:rPr>
          <w:color w:val="383838"/>
          <w:sz w:val="28"/>
          <w:szCs w:val="28"/>
        </w:rPr>
        <w:t xml:space="preserve"> szpitalnictwo(</w:t>
      </w:r>
      <w:r w:rsidRPr="000F4929">
        <w:rPr>
          <w:color w:val="383838"/>
          <w:sz w:val="28"/>
          <w:szCs w:val="28"/>
        </w:rPr>
        <w:t xml:space="preserve"> udzielanie świadczeń zdrowotnych</w:t>
      </w:r>
      <w:r w:rsidR="00390850" w:rsidRPr="000F4929">
        <w:rPr>
          <w:color w:val="383838"/>
          <w:sz w:val="28"/>
          <w:szCs w:val="28"/>
        </w:rPr>
        <w:t>) oraz prowadzenie działalności profilaktycznej, leczniczej i rehabilitacyjnej w zakresie zapobiegania, leczenia i rehabilitacji chorób wewnętrznych.</w:t>
      </w:r>
      <w:r w:rsidRPr="000F4929">
        <w:rPr>
          <w:color w:val="383838"/>
          <w:sz w:val="28"/>
          <w:szCs w:val="28"/>
        </w:rPr>
        <w:t xml:space="preserve"> </w:t>
      </w:r>
    </w:p>
    <w:p w:rsidR="00DD71FF" w:rsidRPr="000F4929" w:rsidRDefault="006936F7" w:rsidP="000F4929">
      <w:pPr>
        <w:pStyle w:val="Teksttreci0"/>
        <w:numPr>
          <w:ilvl w:val="0"/>
          <w:numId w:val="1"/>
        </w:numPr>
        <w:shd w:val="clear" w:color="auto" w:fill="auto"/>
        <w:tabs>
          <w:tab w:val="left" w:pos="935"/>
        </w:tabs>
        <w:spacing w:line="374" w:lineRule="auto"/>
        <w:ind w:left="920" w:hanging="320"/>
        <w:jc w:val="both"/>
        <w:rPr>
          <w:sz w:val="28"/>
          <w:szCs w:val="28"/>
        </w:rPr>
      </w:pPr>
      <w:r w:rsidRPr="000F4929">
        <w:rPr>
          <w:color w:val="383838"/>
          <w:sz w:val="28"/>
          <w:szCs w:val="28"/>
        </w:rPr>
        <w:t xml:space="preserve">Organ prowadzący rejestr: </w:t>
      </w:r>
      <w:r w:rsidR="00390850" w:rsidRPr="000F4929">
        <w:rPr>
          <w:color w:val="383838"/>
          <w:sz w:val="28"/>
          <w:szCs w:val="28"/>
        </w:rPr>
        <w:t xml:space="preserve">Jednostka jest wpisana przez </w:t>
      </w:r>
      <w:r w:rsidRPr="000F4929">
        <w:rPr>
          <w:color w:val="383838"/>
          <w:sz w:val="28"/>
          <w:szCs w:val="28"/>
        </w:rPr>
        <w:t>Sąd Rejonowy w Białymstoku, XI Wydział Gospodarczy Krajowego Rejestru Sądowego</w:t>
      </w:r>
      <w:r w:rsidR="00390850" w:rsidRPr="000F4929">
        <w:rPr>
          <w:color w:val="383838"/>
          <w:sz w:val="28"/>
          <w:szCs w:val="28"/>
        </w:rPr>
        <w:t xml:space="preserve"> do</w:t>
      </w:r>
      <w:r w:rsidRPr="000F4929">
        <w:rPr>
          <w:color w:val="757575"/>
          <w:sz w:val="28"/>
          <w:szCs w:val="28"/>
        </w:rPr>
        <w:t xml:space="preserve"> </w:t>
      </w:r>
      <w:r w:rsidRPr="000F4929">
        <w:rPr>
          <w:color w:val="383838"/>
          <w:sz w:val="28"/>
          <w:szCs w:val="28"/>
        </w:rPr>
        <w:t>Rejestr</w:t>
      </w:r>
      <w:r w:rsidR="00390850" w:rsidRPr="000F4929">
        <w:rPr>
          <w:color w:val="383838"/>
          <w:sz w:val="28"/>
          <w:szCs w:val="28"/>
        </w:rPr>
        <w:t>u S</w:t>
      </w:r>
      <w:r w:rsidRPr="000F4929">
        <w:rPr>
          <w:color w:val="383838"/>
          <w:sz w:val="28"/>
          <w:szCs w:val="28"/>
        </w:rPr>
        <w:t>towarzyszeń, innych organizacji społecznych i zawodowych, fundacji oraz samodzielnych publicznych zakładów opieki zdrowotne</w:t>
      </w:r>
      <w:r w:rsidR="00390850" w:rsidRPr="000F4929">
        <w:rPr>
          <w:color w:val="383838"/>
          <w:sz w:val="28"/>
          <w:szCs w:val="28"/>
        </w:rPr>
        <w:t>j</w:t>
      </w:r>
      <w:r w:rsidRPr="000F4929">
        <w:rPr>
          <w:color w:val="383838"/>
          <w:sz w:val="28"/>
          <w:szCs w:val="28"/>
        </w:rPr>
        <w:t xml:space="preserve"> </w:t>
      </w:r>
      <w:r w:rsidR="00390850" w:rsidRPr="000F4929">
        <w:rPr>
          <w:color w:val="383838"/>
          <w:sz w:val="28"/>
          <w:szCs w:val="28"/>
        </w:rPr>
        <w:t xml:space="preserve"> pod numerem</w:t>
      </w:r>
      <w:r w:rsidRPr="000F4929">
        <w:rPr>
          <w:color w:val="383838"/>
          <w:sz w:val="28"/>
          <w:szCs w:val="28"/>
        </w:rPr>
        <w:t xml:space="preserve"> KRS: 000000</w:t>
      </w:r>
      <w:r w:rsidR="00390850" w:rsidRPr="000F4929">
        <w:rPr>
          <w:color w:val="383838"/>
          <w:sz w:val="28"/>
          <w:szCs w:val="28"/>
        </w:rPr>
        <w:t>2252</w:t>
      </w:r>
      <w:r w:rsidRPr="000F4929">
        <w:rPr>
          <w:color w:val="383838"/>
          <w:sz w:val="28"/>
          <w:szCs w:val="28"/>
        </w:rPr>
        <w:t>.</w:t>
      </w:r>
      <w:r w:rsidR="00390850" w:rsidRPr="000F4929">
        <w:rPr>
          <w:color w:val="383838"/>
          <w:sz w:val="28"/>
          <w:szCs w:val="28"/>
        </w:rPr>
        <w:t xml:space="preserve"> NIP 99-15-02-648 oraz Regon 050692045</w:t>
      </w:r>
    </w:p>
    <w:p w:rsidR="00DD71FF" w:rsidRPr="000F4929" w:rsidRDefault="006936F7" w:rsidP="000F4929">
      <w:pPr>
        <w:pStyle w:val="Teksttreci0"/>
        <w:numPr>
          <w:ilvl w:val="0"/>
          <w:numId w:val="1"/>
        </w:numPr>
        <w:shd w:val="clear" w:color="auto" w:fill="auto"/>
        <w:tabs>
          <w:tab w:val="left" w:pos="935"/>
        </w:tabs>
        <w:spacing w:line="372" w:lineRule="auto"/>
        <w:ind w:left="920" w:hanging="320"/>
        <w:jc w:val="both"/>
        <w:rPr>
          <w:sz w:val="28"/>
          <w:szCs w:val="28"/>
        </w:rPr>
      </w:pPr>
      <w:r w:rsidRPr="000F4929">
        <w:rPr>
          <w:color w:val="383838"/>
          <w:sz w:val="28"/>
          <w:szCs w:val="28"/>
        </w:rPr>
        <w:t>Okres będący podstawą analizy sytuacji ekonomiczno-finansowej: od 1 stycznia 201</w:t>
      </w:r>
      <w:r w:rsidR="00DC3F7A">
        <w:rPr>
          <w:color w:val="383838"/>
          <w:sz w:val="28"/>
          <w:szCs w:val="28"/>
        </w:rPr>
        <w:t>9</w:t>
      </w:r>
      <w:r w:rsidRPr="000F4929">
        <w:rPr>
          <w:color w:val="383838"/>
          <w:sz w:val="28"/>
          <w:szCs w:val="28"/>
        </w:rPr>
        <w:t xml:space="preserve"> do 31 grudnia 201</w:t>
      </w:r>
      <w:r w:rsidR="00DC3F7A">
        <w:rPr>
          <w:color w:val="383838"/>
          <w:sz w:val="28"/>
          <w:szCs w:val="28"/>
        </w:rPr>
        <w:t>9</w:t>
      </w:r>
      <w:r w:rsidRPr="000F4929">
        <w:rPr>
          <w:color w:val="383838"/>
          <w:sz w:val="28"/>
          <w:szCs w:val="28"/>
        </w:rPr>
        <w:t xml:space="preserve"> r.</w:t>
      </w:r>
    </w:p>
    <w:p w:rsidR="00DD71FF" w:rsidRPr="000F4929" w:rsidRDefault="006936F7" w:rsidP="000F4929">
      <w:pPr>
        <w:pStyle w:val="Teksttreci0"/>
        <w:numPr>
          <w:ilvl w:val="0"/>
          <w:numId w:val="2"/>
        </w:numPr>
        <w:shd w:val="clear" w:color="auto" w:fill="auto"/>
        <w:tabs>
          <w:tab w:val="left" w:pos="935"/>
        </w:tabs>
        <w:spacing w:line="360" w:lineRule="auto"/>
        <w:ind w:left="920" w:hanging="320"/>
        <w:jc w:val="both"/>
        <w:rPr>
          <w:sz w:val="28"/>
          <w:szCs w:val="28"/>
        </w:rPr>
      </w:pPr>
      <w:r w:rsidRPr="000F4929">
        <w:rPr>
          <w:color w:val="383838"/>
          <w:sz w:val="28"/>
          <w:szCs w:val="28"/>
        </w:rPr>
        <w:t>Bilans sporządzony na dzień 31.12.201</w:t>
      </w:r>
      <w:r w:rsidR="00A60995">
        <w:rPr>
          <w:color w:val="383838"/>
          <w:sz w:val="28"/>
          <w:szCs w:val="28"/>
        </w:rPr>
        <w:t>9</w:t>
      </w:r>
      <w:r w:rsidRPr="000F4929">
        <w:rPr>
          <w:color w:val="383838"/>
          <w:sz w:val="28"/>
          <w:szCs w:val="28"/>
        </w:rPr>
        <w:t xml:space="preserve">r. po stronie aktywów i pasywów </w:t>
      </w:r>
      <w:r w:rsidR="00F664B4" w:rsidRPr="000F4929">
        <w:rPr>
          <w:color w:val="383838"/>
          <w:sz w:val="28"/>
          <w:szCs w:val="28"/>
        </w:rPr>
        <w:t xml:space="preserve">wykazuje sumę </w:t>
      </w:r>
      <w:r w:rsidR="00DC3F7A">
        <w:rPr>
          <w:color w:val="383838"/>
          <w:sz w:val="28"/>
          <w:szCs w:val="28"/>
        </w:rPr>
        <w:t>8.491.832,54</w:t>
      </w:r>
      <w:r w:rsidRPr="000F4929">
        <w:rPr>
          <w:color w:val="383838"/>
          <w:sz w:val="28"/>
          <w:szCs w:val="28"/>
        </w:rPr>
        <w:t xml:space="preserve"> zł</w:t>
      </w:r>
      <w:r w:rsidR="00F664B4" w:rsidRPr="000F4929">
        <w:rPr>
          <w:color w:val="383838"/>
          <w:sz w:val="28"/>
          <w:szCs w:val="28"/>
        </w:rPr>
        <w:t>.</w:t>
      </w:r>
    </w:p>
    <w:p w:rsidR="00DD71FF" w:rsidRPr="000F4929" w:rsidRDefault="006936F7" w:rsidP="000F4929">
      <w:pPr>
        <w:pStyle w:val="Teksttreci0"/>
        <w:numPr>
          <w:ilvl w:val="0"/>
          <w:numId w:val="2"/>
        </w:numPr>
        <w:shd w:val="clear" w:color="auto" w:fill="auto"/>
        <w:tabs>
          <w:tab w:val="left" w:pos="935"/>
        </w:tabs>
        <w:spacing w:line="350" w:lineRule="auto"/>
        <w:ind w:left="920" w:hanging="320"/>
        <w:jc w:val="both"/>
        <w:rPr>
          <w:sz w:val="28"/>
          <w:szCs w:val="28"/>
        </w:rPr>
      </w:pPr>
      <w:r w:rsidRPr="000F4929">
        <w:rPr>
          <w:color w:val="383838"/>
          <w:sz w:val="28"/>
          <w:szCs w:val="28"/>
        </w:rPr>
        <w:t>Rachunek zysków i strat za rok obrotowy od</w:t>
      </w:r>
      <w:r w:rsidR="00841F71" w:rsidRPr="000F4929">
        <w:rPr>
          <w:color w:val="383838"/>
          <w:sz w:val="28"/>
          <w:szCs w:val="28"/>
        </w:rPr>
        <w:t xml:space="preserve"> </w:t>
      </w:r>
      <w:r w:rsidRPr="000F4929">
        <w:rPr>
          <w:color w:val="383838"/>
          <w:sz w:val="28"/>
          <w:szCs w:val="28"/>
        </w:rPr>
        <w:t>01</w:t>
      </w:r>
      <w:r w:rsidR="00F664B4" w:rsidRPr="000F4929">
        <w:rPr>
          <w:color w:val="383838"/>
          <w:sz w:val="28"/>
          <w:szCs w:val="28"/>
        </w:rPr>
        <w:t xml:space="preserve">stycznia </w:t>
      </w:r>
      <w:r w:rsidRPr="000F4929">
        <w:rPr>
          <w:color w:val="383838"/>
          <w:sz w:val="28"/>
          <w:szCs w:val="28"/>
        </w:rPr>
        <w:t>201</w:t>
      </w:r>
      <w:r w:rsidR="00DC3F7A">
        <w:rPr>
          <w:color w:val="383838"/>
          <w:sz w:val="28"/>
          <w:szCs w:val="28"/>
        </w:rPr>
        <w:t>9</w:t>
      </w:r>
      <w:r w:rsidRPr="000F4929">
        <w:rPr>
          <w:color w:val="383838"/>
          <w:sz w:val="28"/>
          <w:szCs w:val="28"/>
        </w:rPr>
        <w:t xml:space="preserve"> r do 31</w:t>
      </w:r>
      <w:r w:rsidR="00F664B4" w:rsidRPr="000F4929">
        <w:rPr>
          <w:color w:val="383838"/>
          <w:sz w:val="28"/>
          <w:szCs w:val="28"/>
        </w:rPr>
        <w:t xml:space="preserve"> grudnia  </w:t>
      </w:r>
      <w:r w:rsidRPr="000F4929">
        <w:rPr>
          <w:color w:val="383838"/>
          <w:sz w:val="28"/>
          <w:szCs w:val="28"/>
        </w:rPr>
        <w:t>201</w:t>
      </w:r>
      <w:r w:rsidR="00DC3F7A">
        <w:rPr>
          <w:color w:val="383838"/>
          <w:sz w:val="28"/>
          <w:szCs w:val="28"/>
        </w:rPr>
        <w:t>9</w:t>
      </w:r>
      <w:r w:rsidRPr="000F4929">
        <w:rPr>
          <w:color w:val="383838"/>
          <w:sz w:val="28"/>
          <w:szCs w:val="28"/>
        </w:rPr>
        <w:t xml:space="preserve"> r. wykazuje stratę netto w wysokości</w:t>
      </w:r>
      <w:r w:rsidR="00F664B4" w:rsidRPr="000F4929">
        <w:rPr>
          <w:color w:val="383838"/>
          <w:sz w:val="28"/>
          <w:szCs w:val="28"/>
        </w:rPr>
        <w:t xml:space="preserve"> 1.</w:t>
      </w:r>
      <w:r w:rsidR="00DC3F7A">
        <w:rPr>
          <w:color w:val="383838"/>
          <w:sz w:val="28"/>
          <w:szCs w:val="28"/>
        </w:rPr>
        <w:t>375.406,11</w:t>
      </w:r>
      <w:r w:rsidR="00F664B4" w:rsidRPr="000F4929">
        <w:rPr>
          <w:color w:val="383838"/>
          <w:sz w:val="28"/>
          <w:szCs w:val="28"/>
        </w:rPr>
        <w:t xml:space="preserve"> złotych.</w:t>
      </w:r>
    </w:p>
    <w:p w:rsidR="00DD71FF" w:rsidRPr="000F4929" w:rsidRDefault="006936F7" w:rsidP="000F4929">
      <w:pPr>
        <w:pStyle w:val="Teksttreci0"/>
        <w:numPr>
          <w:ilvl w:val="0"/>
          <w:numId w:val="2"/>
        </w:numPr>
        <w:shd w:val="clear" w:color="auto" w:fill="auto"/>
        <w:tabs>
          <w:tab w:val="left" w:pos="935"/>
        </w:tabs>
        <w:spacing w:line="360" w:lineRule="auto"/>
        <w:ind w:left="920" w:hanging="320"/>
        <w:jc w:val="both"/>
        <w:rPr>
          <w:sz w:val="28"/>
          <w:szCs w:val="28"/>
        </w:rPr>
      </w:pPr>
      <w:r w:rsidRPr="000F4929">
        <w:rPr>
          <w:color w:val="383838"/>
          <w:sz w:val="28"/>
          <w:szCs w:val="28"/>
        </w:rPr>
        <w:t>Zestawienie zmian w funduszu własnym za rok obrotowy od 01</w:t>
      </w:r>
      <w:r w:rsidR="00F664B4" w:rsidRPr="000F4929">
        <w:rPr>
          <w:color w:val="383838"/>
          <w:sz w:val="28"/>
          <w:szCs w:val="28"/>
        </w:rPr>
        <w:t xml:space="preserve">stycznia </w:t>
      </w:r>
      <w:r w:rsidRPr="000F4929">
        <w:rPr>
          <w:color w:val="383838"/>
          <w:sz w:val="28"/>
          <w:szCs w:val="28"/>
        </w:rPr>
        <w:t>201</w:t>
      </w:r>
      <w:r w:rsidR="00DC3F7A">
        <w:rPr>
          <w:color w:val="383838"/>
          <w:sz w:val="28"/>
          <w:szCs w:val="28"/>
        </w:rPr>
        <w:t>9</w:t>
      </w:r>
      <w:r w:rsidRPr="000F4929">
        <w:rPr>
          <w:color w:val="383838"/>
          <w:sz w:val="28"/>
          <w:szCs w:val="28"/>
        </w:rPr>
        <w:t xml:space="preserve"> r. do 31</w:t>
      </w:r>
      <w:r w:rsidR="00F664B4" w:rsidRPr="000F4929">
        <w:rPr>
          <w:color w:val="383838"/>
          <w:sz w:val="28"/>
          <w:szCs w:val="28"/>
        </w:rPr>
        <w:t xml:space="preserve"> grudnia </w:t>
      </w:r>
      <w:r w:rsidRPr="000F4929">
        <w:rPr>
          <w:color w:val="383838"/>
          <w:sz w:val="28"/>
          <w:szCs w:val="28"/>
        </w:rPr>
        <w:t>201</w:t>
      </w:r>
      <w:r w:rsidR="00DC3F7A">
        <w:rPr>
          <w:color w:val="383838"/>
          <w:sz w:val="28"/>
          <w:szCs w:val="28"/>
        </w:rPr>
        <w:t>9</w:t>
      </w:r>
      <w:r w:rsidRPr="000F4929">
        <w:rPr>
          <w:color w:val="383838"/>
          <w:sz w:val="28"/>
          <w:szCs w:val="28"/>
        </w:rPr>
        <w:t xml:space="preserve"> r. wykazuje zmniejszenie funduszu własnego o kwotę: (~)</w:t>
      </w:r>
      <w:r w:rsidR="00F664B4" w:rsidRPr="000F4929">
        <w:rPr>
          <w:color w:val="383838"/>
          <w:sz w:val="28"/>
          <w:szCs w:val="28"/>
        </w:rPr>
        <w:t>1.</w:t>
      </w:r>
      <w:r w:rsidR="00BB5906">
        <w:rPr>
          <w:color w:val="383838"/>
          <w:sz w:val="28"/>
          <w:szCs w:val="28"/>
        </w:rPr>
        <w:t>730.563,24</w:t>
      </w:r>
      <w:r w:rsidRPr="000F4929">
        <w:rPr>
          <w:color w:val="383838"/>
          <w:sz w:val="28"/>
          <w:szCs w:val="28"/>
        </w:rPr>
        <w:t xml:space="preserve"> zł</w:t>
      </w:r>
      <w:r w:rsidR="00F664B4" w:rsidRPr="000F4929">
        <w:rPr>
          <w:color w:val="383838"/>
          <w:sz w:val="28"/>
          <w:szCs w:val="28"/>
        </w:rPr>
        <w:t>otych.</w:t>
      </w:r>
    </w:p>
    <w:p w:rsidR="00DD71FF" w:rsidRPr="000F4929" w:rsidRDefault="006936F7" w:rsidP="000F4929">
      <w:pPr>
        <w:pStyle w:val="Teksttreci0"/>
        <w:numPr>
          <w:ilvl w:val="0"/>
          <w:numId w:val="2"/>
        </w:numPr>
        <w:shd w:val="clear" w:color="auto" w:fill="auto"/>
        <w:tabs>
          <w:tab w:val="left" w:pos="935"/>
        </w:tabs>
        <w:ind w:left="920" w:hanging="320"/>
        <w:jc w:val="both"/>
        <w:rPr>
          <w:sz w:val="28"/>
          <w:szCs w:val="28"/>
        </w:rPr>
      </w:pPr>
      <w:r w:rsidRPr="000F4929">
        <w:rPr>
          <w:color w:val="383838"/>
          <w:sz w:val="28"/>
          <w:szCs w:val="28"/>
        </w:rPr>
        <w:t>Rachunek przepływów pieniężnych za rok obrotowy od 01</w:t>
      </w:r>
      <w:r w:rsidR="00F664B4" w:rsidRPr="000F4929">
        <w:rPr>
          <w:color w:val="383838"/>
          <w:sz w:val="28"/>
          <w:szCs w:val="28"/>
        </w:rPr>
        <w:t xml:space="preserve">stycznia </w:t>
      </w:r>
      <w:r w:rsidRPr="000F4929">
        <w:rPr>
          <w:color w:val="383838"/>
          <w:sz w:val="28"/>
          <w:szCs w:val="28"/>
        </w:rPr>
        <w:t>201</w:t>
      </w:r>
      <w:r w:rsidR="00BB5906">
        <w:rPr>
          <w:color w:val="383838"/>
          <w:sz w:val="28"/>
          <w:szCs w:val="28"/>
        </w:rPr>
        <w:t>9</w:t>
      </w:r>
      <w:r w:rsidRPr="000F4929">
        <w:rPr>
          <w:color w:val="383838"/>
          <w:sz w:val="28"/>
          <w:szCs w:val="28"/>
        </w:rPr>
        <w:t xml:space="preserve"> r. do 31</w:t>
      </w:r>
      <w:r w:rsidR="00F664B4" w:rsidRPr="000F4929">
        <w:rPr>
          <w:color w:val="383838"/>
          <w:sz w:val="28"/>
          <w:szCs w:val="28"/>
        </w:rPr>
        <w:t xml:space="preserve">grudnia </w:t>
      </w:r>
      <w:r w:rsidRPr="000F4929">
        <w:rPr>
          <w:color w:val="383838"/>
          <w:sz w:val="28"/>
          <w:szCs w:val="28"/>
        </w:rPr>
        <w:t>201</w:t>
      </w:r>
      <w:r w:rsidR="00BB5906">
        <w:rPr>
          <w:color w:val="383838"/>
          <w:sz w:val="28"/>
          <w:szCs w:val="28"/>
        </w:rPr>
        <w:t>9</w:t>
      </w:r>
      <w:r w:rsidRPr="000F4929">
        <w:rPr>
          <w:color w:val="383838"/>
          <w:sz w:val="28"/>
          <w:szCs w:val="28"/>
        </w:rPr>
        <w:t xml:space="preserve"> r. wykazuje </w:t>
      </w:r>
      <w:r w:rsidR="00BB5906">
        <w:rPr>
          <w:color w:val="383838"/>
          <w:sz w:val="28"/>
          <w:szCs w:val="28"/>
        </w:rPr>
        <w:t>zmniejszenie</w:t>
      </w:r>
      <w:r w:rsidRPr="000F4929">
        <w:rPr>
          <w:color w:val="383838"/>
          <w:sz w:val="28"/>
          <w:szCs w:val="28"/>
        </w:rPr>
        <w:t xml:space="preserve"> stanu środków pieniężnych o kwotę</w:t>
      </w:r>
      <w:r w:rsidR="00F664B4" w:rsidRPr="000F4929">
        <w:rPr>
          <w:color w:val="383838"/>
          <w:sz w:val="28"/>
          <w:szCs w:val="28"/>
        </w:rPr>
        <w:t xml:space="preserve"> </w:t>
      </w:r>
      <w:r w:rsidR="00BB5906">
        <w:rPr>
          <w:color w:val="383838"/>
          <w:sz w:val="28"/>
          <w:szCs w:val="28"/>
        </w:rPr>
        <w:t>440.045,69</w:t>
      </w:r>
      <w:r w:rsidRPr="000F4929">
        <w:rPr>
          <w:color w:val="383838"/>
          <w:sz w:val="28"/>
          <w:szCs w:val="28"/>
        </w:rPr>
        <w:t xml:space="preserve"> zł</w:t>
      </w:r>
      <w:r w:rsidR="00F664B4" w:rsidRPr="000F4929">
        <w:rPr>
          <w:color w:val="383838"/>
          <w:sz w:val="28"/>
          <w:szCs w:val="28"/>
        </w:rPr>
        <w:t>otych</w:t>
      </w:r>
      <w:r w:rsidRPr="000F4929">
        <w:rPr>
          <w:color w:val="383838"/>
          <w:sz w:val="28"/>
          <w:szCs w:val="28"/>
        </w:rPr>
        <w:t>.</w:t>
      </w:r>
    </w:p>
    <w:p w:rsidR="00DD71FF" w:rsidRPr="000F4929" w:rsidRDefault="006936F7" w:rsidP="007E27DA">
      <w:pPr>
        <w:pStyle w:val="Teksttreci0"/>
        <w:numPr>
          <w:ilvl w:val="0"/>
          <w:numId w:val="2"/>
        </w:numPr>
        <w:shd w:val="clear" w:color="auto" w:fill="auto"/>
        <w:tabs>
          <w:tab w:val="left" w:pos="935"/>
        </w:tabs>
        <w:spacing w:line="374" w:lineRule="auto"/>
        <w:ind w:left="919" w:hanging="318"/>
        <w:jc w:val="both"/>
        <w:rPr>
          <w:sz w:val="28"/>
          <w:szCs w:val="28"/>
        </w:rPr>
      </w:pPr>
      <w:r w:rsidRPr="000F4929">
        <w:rPr>
          <w:color w:val="383838"/>
          <w:sz w:val="28"/>
          <w:szCs w:val="28"/>
        </w:rPr>
        <w:lastRenderedPageBreak/>
        <w:t>Kapitał podstawowy (Fundusz założycielski) jednostki na dzień 31</w:t>
      </w:r>
      <w:r w:rsidR="00F664B4" w:rsidRPr="000F4929">
        <w:rPr>
          <w:color w:val="383838"/>
          <w:sz w:val="28"/>
          <w:szCs w:val="28"/>
        </w:rPr>
        <w:t xml:space="preserve">grudnia </w:t>
      </w:r>
      <w:r w:rsidRPr="000F4929">
        <w:rPr>
          <w:color w:val="383838"/>
          <w:sz w:val="28"/>
          <w:szCs w:val="28"/>
        </w:rPr>
        <w:t>201</w:t>
      </w:r>
      <w:r w:rsidR="00BB5906">
        <w:rPr>
          <w:color w:val="383838"/>
          <w:sz w:val="28"/>
          <w:szCs w:val="28"/>
        </w:rPr>
        <w:t>9</w:t>
      </w:r>
      <w:r w:rsidRPr="000F4929">
        <w:rPr>
          <w:color w:val="383838"/>
          <w:sz w:val="28"/>
          <w:szCs w:val="28"/>
        </w:rPr>
        <w:t xml:space="preserve"> roku wynosił:</w:t>
      </w:r>
      <w:r w:rsidR="007E27DA" w:rsidRPr="000F4929">
        <w:rPr>
          <w:color w:val="383838"/>
          <w:sz w:val="28"/>
          <w:szCs w:val="28"/>
        </w:rPr>
        <w:t xml:space="preserve"> -</w:t>
      </w:r>
      <w:r w:rsidR="00BB5906">
        <w:rPr>
          <w:color w:val="383838"/>
          <w:sz w:val="28"/>
          <w:szCs w:val="28"/>
        </w:rPr>
        <w:t>2.849.196,22</w:t>
      </w:r>
      <w:r w:rsidRPr="000F4929">
        <w:rPr>
          <w:color w:val="383838"/>
          <w:sz w:val="28"/>
          <w:szCs w:val="28"/>
        </w:rPr>
        <w:t xml:space="preserve"> zł</w:t>
      </w:r>
      <w:r w:rsidR="00F664B4" w:rsidRPr="000F4929">
        <w:rPr>
          <w:color w:val="383838"/>
          <w:sz w:val="28"/>
          <w:szCs w:val="28"/>
        </w:rPr>
        <w:t>otych</w:t>
      </w:r>
      <w:r w:rsidRPr="000F4929">
        <w:rPr>
          <w:color w:val="383838"/>
          <w:sz w:val="28"/>
          <w:szCs w:val="28"/>
        </w:rPr>
        <w:t>.</w:t>
      </w:r>
    </w:p>
    <w:p w:rsidR="00DD71FF" w:rsidRPr="000F4929" w:rsidRDefault="006936F7" w:rsidP="0054767A">
      <w:pPr>
        <w:pStyle w:val="Teksttreci0"/>
        <w:numPr>
          <w:ilvl w:val="0"/>
          <w:numId w:val="2"/>
        </w:numPr>
        <w:shd w:val="clear" w:color="auto" w:fill="auto"/>
        <w:tabs>
          <w:tab w:val="left" w:pos="935"/>
        </w:tabs>
        <w:spacing w:line="360" w:lineRule="auto"/>
        <w:ind w:left="919" w:hanging="318"/>
        <w:jc w:val="both"/>
        <w:rPr>
          <w:sz w:val="28"/>
          <w:szCs w:val="28"/>
        </w:rPr>
      </w:pPr>
      <w:r w:rsidRPr="000F4929">
        <w:rPr>
          <w:color w:val="383838"/>
          <w:sz w:val="28"/>
          <w:szCs w:val="28"/>
        </w:rPr>
        <w:t>Zakład</w:t>
      </w:r>
      <w:r w:rsidR="002A6099" w:rsidRPr="000F4929">
        <w:rPr>
          <w:color w:val="383838"/>
          <w:sz w:val="28"/>
          <w:szCs w:val="28"/>
        </w:rPr>
        <w:t xml:space="preserve"> ma w nieodpłatnym użytkowaniu nieruchomość   gruntową  objętą księgą wieczystą Nr </w:t>
      </w:r>
      <w:proofErr w:type="spellStart"/>
      <w:r w:rsidR="002A6099" w:rsidRPr="000F4929">
        <w:rPr>
          <w:color w:val="383838"/>
          <w:sz w:val="28"/>
          <w:szCs w:val="28"/>
        </w:rPr>
        <w:t>Kw</w:t>
      </w:r>
      <w:proofErr w:type="spellEnd"/>
      <w:r w:rsidR="00BB5906">
        <w:rPr>
          <w:color w:val="383838"/>
          <w:sz w:val="28"/>
          <w:szCs w:val="28"/>
        </w:rPr>
        <w:t xml:space="preserve"> </w:t>
      </w:r>
      <w:r w:rsidR="002A6099" w:rsidRPr="000F4929">
        <w:rPr>
          <w:color w:val="383838"/>
          <w:sz w:val="28"/>
          <w:szCs w:val="28"/>
        </w:rPr>
        <w:t>2873 którego właścicielem jest Gmina Białystok.</w:t>
      </w:r>
    </w:p>
    <w:p w:rsidR="00D937E8" w:rsidRPr="000F4929" w:rsidRDefault="00D937E8" w:rsidP="0054767A">
      <w:pPr>
        <w:pStyle w:val="Teksttreci0"/>
        <w:numPr>
          <w:ilvl w:val="0"/>
          <w:numId w:val="2"/>
        </w:numPr>
        <w:shd w:val="clear" w:color="auto" w:fill="auto"/>
        <w:tabs>
          <w:tab w:val="left" w:pos="935"/>
        </w:tabs>
        <w:spacing w:line="360" w:lineRule="auto"/>
        <w:ind w:left="919" w:hanging="318"/>
        <w:jc w:val="both"/>
        <w:rPr>
          <w:sz w:val="28"/>
          <w:szCs w:val="28"/>
        </w:rPr>
      </w:pPr>
      <w:r w:rsidRPr="000F4929">
        <w:rPr>
          <w:color w:val="383838"/>
          <w:sz w:val="28"/>
          <w:szCs w:val="28"/>
        </w:rPr>
        <w:t xml:space="preserve"> Samodzielny Szpital Miejski im. PCK w Białymstoku posiada CERTYFIKA</w:t>
      </w:r>
      <w:r w:rsidR="004958AA" w:rsidRPr="000F4929">
        <w:rPr>
          <w:color w:val="383838"/>
          <w:sz w:val="28"/>
          <w:szCs w:val="28"/>
        </w:rPr>
        <w:t>T Systemu zarządzania Jakością ISO</w:t>
      </w:r>
      <w:r w:rsidRPr="000F4929">
        <w:rPr>
          <w:color w:val="383838"/>
          <w:sz w:val="28"/>
          <w:szCs w:val="28"/>
        </w:rPr>
        <w:t xml:space="preserve"> od 20</w:t>
      </w:r>
      <w:r w:rsidR="00F70906" w:rsidRPr="000F4929">
        <w:rPr>
          <w:color w:val="383838"/>
          <w:sz w:val="28"/>
          <w:szCs w:val="28"/>
        </w:rPr>
        <w:t>0</w:t>
      </w:r>
      <w:r w:rsidRPr="000F4929">
        <w:rPr>
          <w:color w:val="383838"/>
          <w:sz w:val="28"/>
          <w:szCs w:val="28"/>
        </w:rPr>
        <w:t>7 roku na świadczenie usług medycznych w zakresie: udzielania świadczeń medycznych w izbie przyjęć, leczenia szpitalnego w zakresie hospitalizacji chorób wewnętrznych, ambulatoryjnej opieki specjalistycznej w zakresie gastroenterologii oraz kardiologii, badań endos</w:t>
      </w:r>
      <w:r w:rsidR="00F34AE1" w:rsidRPr="000F4929">
        <w:rPr>
          <w:color w:val="383838"/>
          <w:sz w:val="28"/>
          <w:szCs w:val="28"/>
        </w:rPr>
        <w:t>kopowych przewodu pokarmowego (</w:t>
      </w:r>
      <w:r w:rsidRPr="000F4929">
        <w:rPr>
          <w:color w:val="383838"/>
          <w:sz w:val="28"/>
          <w:szCs w:val="28"/>
        </w:rPr>
        <w:t xml:space="preserve">gastroskopia i </w:t>
      </w:r>
      <w:proofErr w:type="spellStart"/>
      <w:r w:rsidRPr="000F4929">
        <w:rPr>
          <w:color w:val="383838"/>
          <w:sz w:val="28"/>
          <w:szCs w:val="28"/>
        </w:rPr>
        <w:t>kolonoskopia</w:t>
      </w:r>
      <w:proofErr w:type="spellEnd"/>
      <w:r w:rsidRPr="000F4929">
        <w:rPr>
          <w:color w:val="383838"/>
          <w:sz w:val="28"/>
          <w:szCs w:val="28"/>
        </w:rPr>
        <w:t>), podstawowej opieki zdrowotnej, lekarskiej ambulatoryjnej opieki rehabilitacyjnej, fizykoterapii ambulatoryjnej, medycyny pracy, szkoły rodzenia, gabinetu położnej podstawowej opieki zdrowotnej, sterylizacji, diagnostyki laboratoryjnej i obrazowe</w:t>
      </w:r>
      <w:r w:rsidR="00A6556A" w:rsidRPr="000F4929">
        <w:rPr>
          <w:color w:val="383838"/>
          <w:sz w:val="28"/>
          <w:szCs w:val="28"/>
        </w:rPr>
        <w:t>j</w:t>
      </w:r>
      <w:r w:rsidRPr="000F4929">
        <w:rPr>
          <w:color w:val="383838"/>
          <w:sz w:val="28"/>
          <w:szCs w:val="28"/>
        </w:rPr>
        <w:t xml:space="preserve">, oraz programów profilaktycznych, diagnostyki w zakresie </w:t>
      </w:r>
      <w:proofErr w:type="spellStart"/>
      <w:r w:rsidRPr="000F4929">
        <w:rPr>
          <w:color w:val="383838"/>
          <w:sz w:val="28"/>
          <w:szCs w:val="28"/>
        </w:rPr>
        <w:t>polikardiografii</w:t>
      </w:r>
      <w:proofErr w:type="spellEnd"/>
      <w:r w:rsidRPr="000F4929">
        <w:rPr>
          <w:color w:val="383838"/>
          <w:sz w:val="28"/>
          <w:szCs w:val="28"/>
        </w:rPr>
        <w:t>- echo serca, próby wysiłkowe.</w:t>
      </w:r>
    </w:p>
    <w:p w:rsidR="00F70906" w:rsidRPr="000F4929" w:rsidRDefault="00F70906" w:rsidP="0054767A">
      <w:pPr>
        <w:pStyle w:val="Teksttreci0"/>
        <w:numPr>
          <w:ilvl w:val="0"/>
          <w:numId w:val="2"/>
        </w:numPr>
        <w:shd w:val="clear" w:color="auto" w:fill="auto"/>
        <w:tabs>
          <w:tab w:val="left" w:pos="935"/>
        </w:tabs>
        <w:spacing w:line="360" w:lineRule="auto"/>
        <w:ind w:left="919" w:hanging="318"/>
        <w:jc w:val="both"/>
        <w:rPr>
          <w:sz w:val="28"/>
          <w:szCs w:val="28"/>
        </w:rPr>
      </w:pPr>
      <w:r w:rsidRPr="000F4929">
        <w:rPr>
          <w:color w:val="383838"/>
          <w:sz w:val="28"/>
          <w:szCs w:val="28"/>
        </w:rPr>
        <w:t>Rozwój działalności poprzez strategiczne nakłady inwestycyjne, nowe technologie, zwiększenie łóżek szpitalnych  w ilości 24.</w:t>
      </w:r>
    </w:p>
    <w:p w:rsidR="00F70906" w:rsidRPr="000F4929" w:rsidRDefault="00F70906" w:rsidP="000A0F0F">
      <w:pPr>
        <w:pStyle w:val="Teksttreci0"/>
        <w:numPr>
          <w:ilvl w:val="0"/>
          <w:numId w:val="2"/>
        </w:numPr>
        <w:shd w:val="clear" w:color="auto" w:fill="auto"/>
        <w:tabs>
          <w:tab w:val="left" w:pos="935"/>
        </w:tabs>
        <w:spacing w:line="360" w:lineRule="auto"/>
        <w:ind w:left="919" w:hanging="318"/>
        <w:jc w:val="both"/>
        <w:rPr>
          <w:sz w:val="28"/>
          <w:szCs w:val="28"/>
        </w:rPr>
      </w:pPr>
      <w:r w:rsidRPr="000F4929">
        <w:rPr>
          <w:color w:val="383838"/>
          <w:sz w:val="28"/>
          <w:szCs w:val="28"/>
        </w:rPr>
        <w:t>Nowy zakres świadczeń medycznych.</w:t>
      </w:r>
    </w:p>
    <w:p w:rsidR="00F70906" w:rsidRPr="000F4929" w:rsidRDefault="00F70906" w:rsidP="000A0F0F">
      <w:pPr>
        <w:pStyle w:val="Teksttreci0"/>
        <w:numPr>
          <w:ilvl w:val="0"/>
          <w:numId w:val="2"/>
        </w:numPr>
        <w:shd w:val="clear" w:color="auto" w:fill="auto"/>
        <w:tabs>
          <w:tab w:val="left" w:pos="935"/>
        </w:tabs>
        <w:spacing w:line="360" w:lineRule="auto"/>
        <w:ind w:left="919" w:hanging="318"/>
        <w:jc w:val="both"/>
        <w:rPr>
          <w:sz w:val="28"/>
          <w:szCs w:val="28"/>
        </w:rPr>
      </w:pPr>
      <w:r w:rsidRPr="000F4929">
        <w:rPr>
          <w:color w:val="383838"/>
          <w:sz w:val="28"/>
          <w:szCs w:val="28"/>
        </w:rPr>
        <w:t>Zakup nowego sprzętu i aparatury medycznej</w:t>
      </w:r>
      <w:r w:rsidR="00086450" w:rsidRPr="000F4929">
        <w:rPr>
          <w:color w:val="383838"/>
          <w:sz w:val="28"/>
          <w:szCs w:val="28"/>
        </w:rPr>
        <w:t>.</w:t>
      </w:r>
    </w:p>
    <w:p w:rsidR="00F70906" w:rsidRPr="000F4929" w:rsidRDefault="00F70906" w:rsidP="000A0F0F">
      <w:pPr>
        <w:pStyle w:val="Teksttreci0"/>
        <w:numPr>
          <w:ilvl w:val="0"/>
          <w:numId w:val="2"/>
        </w:numPr>
        <w:shd w:val="clear" w:color="auto" w:fill="auto"/>
        <w:tabs>
          <w:tab w:val="left" w:pos="935"/>
        </w:tabs>
        <w:spacing w:line="360" w:lineRule="auto"/>
        <w:ind w:left="919" w:hanging="318"/>
        <w:jc w:val="both"/>
        <w:rPr>
          <w:sz w:val="28"/>
          <w:szCs w:val="28"/>
        </w:rPr>
      </w:pPr>
      <w:r w:rsidRPr="000F4929">
        <w:rPr>
          <w:color w:val="383838"/>
          <w:sz w:val="28"/>
          <w:szCs w:val="28"/>
        </w:rPr>
        <w:t>Konserwacje i naprawy oraz przeglądy dokonywane są na bieżąco.</w:t>
      </w:r>
    </w:p>
    <w:p w:rsidR="00C81E05" w:rsidRPr="000F4929" w:rsidRDefault="00C81E05" w:rsidP="00C81E05">
      <w:pPr>
        <w:pStyle w:val="Teksttreci0"/>
        <w:shd w:val="clear" w:color="auto" w:fill="auto"/>
        <w:tabs>
          <w:tab w:val="left" w:pos="935"/>
        </w:tabs>
        <w:spacing w:line="360" w:lineRule="auto"/>
        <w:jc w:val="both"/>
        <w:rPr>
          <w:sz w:val="28"/>
          <w:szCs w:val="28"/>
        </w:rPr>
      </w:pPr>
    </w:p>
    <w:p w:rsidR="00DD71FF" w:rsidRPr="000F4929" w:rsidRDefault="006936F7" w:rsidP="00A60995">
      <w:pPr>
        <w:pStyle w:val="Nagwek20"/>
        <w:keepNext/>
        <w:keepLines/>
        <w:numPr>
          <w:ilvl w:val="0"/>
          <w:numId w:val="3"/>
        </w:numPr>
        <w:shd w:val="clear" w:color="auto" w:fill="auto"/>
        <w:tabs>
          <w:tab w:val="left" w:pos="1165"/>
        </w:tabs>
        <w:spacing w:after="120"/>
        <w:ind w:left="426"/>
        <w:jc w:val="both"/>
        <w:rPr>
          <w:sz w:val="28"/>
          <w:szCs w:val="28"/>
        </w:rPr>
      </w:pPr>
      <w:bookmarkStart w:id="2" w:name="bookmark2"/>
      <w:bookmarkStart w:id="3" w:name="bookmark3"/>
      <w:r w:rsidRPr="000F4929">
        <w:rPr>
          <w:sz w:val="28"/>
          <w:szCs w:val="28"/>
        </w:rPr>
        <w:t>ANALIZA SYTUACJI EKONOMICZNO</w:t>
      </w:r>
      <w:r w:rsidR="00F34AE1" w:rsidRPr="000F4929">
        <w:rPr>
          <w:sz w:val="28"/>
          <w:szCs w:val="28"/>
        </w:rPr>
        <w:t xml:space="preserve"> </w:t>
      </w:r>
      <w:r w:rsidRPr="000F4929">
        <w:rPr>
          <w:sz w:val="28"/>
          <w:szCs w:val="28"/>
        </w:rPr>
        <w:t>-</w:t>
      </w:r>
      <w:r w:rsidR="00F34AE1" w:rsidRPr="000F4929">
        <w:rPr>
          <w:sz w:val="28"/>
          <w:szCs w:val="28"/>
        </w:rPr>
        <w:t xml:space="preserve"> </w:t>
      </w:r>
      <w:r w:rsidRPr="000F4929">
        <w:rPr>
          <w:sz w:val="28"/>
          <w:szCs w:val="28"/>
        </w:rPr>
        <w:t xml:space="preserve">FINANSOWEJ ZA </w:t>
      </w:r>
      <w:r w:rsidR="001628A4">
        <w:rPr>
          <w:sz w:val="28"/>
          <w:szCs w:val="28"/>
        </w:rPr>
        <w:t xml:space="preserve">          </w:t>
      </w:r>
      <w:bookmarkEnd w:id="2"/>
      <w:bookmarkEnd w:id="3"/>
      <w:r w:rsidR="00E96ED2" w:rsidRPr="000F4929">
        <w:rPr>
          <w:sz w:val="28"/>
          <w:szCs w:val="28"/>
        </w:rPr>
        <w:t xml:space="preserve"> </w:t>
      </w:r>
      <w:r w:rsidR="001628A4">
        <w:rPr>
          <w:sz w:val="28"/>
          <w:szCs w:val="28"/>
        </w:rPr>
        <w:t xml:space="preserve">                                    ROK    </w:t>
      </w:r>
      <w:r w:rsidR="00E96ED2" w:rsidRPr="000F4929">
        <w:rPr>
          <w:sz w:val="28"/>
          <w:szCs w:val="28"/>
        </w:rPr>
        <w:t>OBROTOWY 201</w:t>
      </w:r>
      <w:r w:rsidR="007272C5">
        <w:rPr>
          <w:sz w:val="28"/>
          <w:szCs w:val="28"/>
        </w:rPr>
        <w:t>9</w:t>
      </w:r>
    </w:p>
    <w:p w:rsidR="00D45950" w:rsidRPr="000F4929" w:rsidRDefault="00D45950" w:rsidP="00D45950">
      <w:pPr>
        <w:pStyle w:val="Nagwek20"/>
        <w:keepNext/>
        <w:keepLines/>
        <w:shd w:val="clear" w:color="auto" w:fill="auto"/>
        <w:tabs>
          <w:tab w:val="left" w:pos="1165"/>
        </w:tabs>
        <w:spacing w:after="120"/>
        <w:ind w:left="680"/>
        <w:jc w:val="both"/>
        <w:rPr>
          <w:sz w:val="28"/>
          <w:szCs w:val="28"/>
        </w:rPr>
      </w:pPr>
    </w:p>
    <w:p w:rsidR="00DD71FF" w:rsidRPr="000F4929" w:rsidRDefault="00D45950" w:rsidP="00F34AE1">
      <w:pPr>
        <w:pStyle w:val="Teksttreci0"/>
        <w:shd w:val="clear" w:color="auto" w:fill="auto"/>
        <w:spacing w:after="440" w:line="379" w:lineRule="auto"/>
        <w:ind w:firstLine="19"/>
        <w:jc w:val="both"/>
        <w:rPr>
          <w:sz w:val="28"/>
          <w:szCs w:val="28"/>
        </w:rPr>
      </w:pPr>
      <w:r w:rsidRPr="000F4929">
        <w:rPr>
          <w:sz w:val="28"/>
          <w:szCs w:val="28"/>
        </w:rPr>
        <w:t xml:space="preserve">Analizę sytuacji </w:t>
      </w:r>
      <w:proofErr w:type="spellStart"/>
      <w:r w:rsidRPr="000F4929">
        <w:rPr>
          <w:sz w:val="28"/>
          <w:szCs w:val="28"/>
        </w:rPr>
        <w:t>ekonomiczno</w:t>
      </w:r>
      <w:proofErr w:type="spellEnd"/>
      <w:r w:rsidR="006936F7" w:rsidRPr="000F4929">
        <w:rPr>
          <w:sz w:val="28"/>
          <w:szCs w:val="28"/>
        </w:rPr>
        <w:t xml:space="preserve"> - finansowej S</w:t>
      </w:r>
      <w:r w:rsidR="00940348" w:rsidRPr="000F4929">
        <w:rPr>
          <w:sz w:val="28"/>
          <w:szCs w:val="28"/>
        </w:rPr>
        <w:t>amodzielnego Szpitala Miejskiego im. PCK w Białymstoku</w:t>
      </w:r>
      <w:r w:rsidR="006936F7" w:rsidRPr="000F4929">
        <w:rPr>
          <w:sz w:val="28"/>
          <w:szCs w:val="28"/>
        </w:rPr>
        <w:t xml:space="preserve"> za rok 201</w:t>
      </w:r>
      <w:r w:rsidR="00BB5906">
        <w:rPr>
          <w:sz w:val="28"/>
          <w:szCs w:val="28"/>
        </w:rPr>
        <w:t>9</w:t>
      </w:r>
      <w:r w:rsidR="006936F7" w:rsidRPr="000F4929">
        <w:rPr>
          <w:sz w:val="28"/>
          <w:szCs w:val="28"/>
        </w:rPr>
        <w:t xml:space="preserve"> dokonan</w:t>
      </w:r>
      <w:r w:rsidR="00940348" w:rsidRPr="000F4929">
        <w:rPr>
          <w:sz w:val="28"/>
          <w:szCs w:val="28"/>
        </w:rPr>
        <w:t>o</w:t>
      </w:r>
      <w:r w:rsidR="006936F7" w:rsidRPr="000F4929">
        <w:rPr>
          <w:sz w:val="28"/>
          <w:szCs w:val="28"/>
        </w:rPr>
        <w:t xml:space="preserve"> na podstawie Rozporządzenia Ministra Zdrowia z dnia 12 kwietnia 2017 r. w sprawie wskaźników ekonomiczno-finansowych niezbędnych do sporządzenia analizy oraz prognozy sytuacji ekonomiczno-finansowej samodzielnych publicznych zakładów opieki zdrowotnej przedstawia tabela nr 1.</w:t>
      </w:r>
    </w:p>
    <w:p w:rsidR="00DD71FF" w:rsidRPr="00D45950" w:rsidRDefault="006936F7">
      <w:pPr>
        <w:pStyle w:val="Podpistabeli0"/>
        <w:shd w:val="clear" w:color="auto" w:fill="auto"/>
        <w:ind w:left="19"/>
        <w:rPr>
          <w:b/>
          <w:sz w:val="24"/>
          <w:szCs w:val="24"/>
        </w:rPr>
      </w:pPr>
      <w:r w:rsidRPr="00D45950">
        <w:rPr>
          <w:b/>
          <w:color w:val="3C3C3C"/>
          <w:sz w:val="24"/>
          <w:szCs w:val="24"/>
        </w:rPr>
        <w:t>Tab. nr 1.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3894"/>
        <w:gridCol w:w="2048"/>
        <w:gridCol w:w="691"/>
      </w:tblGrid>
      <w:tr w:rsidR="00DD71FF" w:rsidRPr="00D45950" w:rsidTr="00002A7D">
        <w:trPr>
          <w:trHeight w:hRule="exact" w:val="706"/>
          <w:jc w:val="center"/>
        </w:trPr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:rsidR="00DD71FF" w:rsidRPr="002A1BF4" w:rsidRDefault="006936F7" w:rsidP="00686AF6">
            <w:pPr>
              <w:pStyle w:val="Inne0"/>
              <w:shd w:val="clear" w:color="auto" w:fill="auto"/>
              <w:spacing w:after="0" w:line="240" w:lineRule="auto"/>
              <w:ind w:firstLine="720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lastRenderedPageBreak/>
              <w:t xml:space="preserve">Tabela podsumowująca wyniki oceny sytuacji </w:t>
            </w:r>
            <w:proofErr w:type="spellStart"/>
            <w:r w:rsidRPr="002A1BF4">
              <w:rPr>
                <w:sz w:val="18"/>
                <w:szCs w:val="18"/>
              </w:rPr>
              <w:t>ekonomiczno</w:t>
            </w:r>
            <w:proofErr w:type="spellEnd"/>
            <w:r w:rsidR="00C81E05" w:rsidRPr="002A1BF4">
              <w:rPr>
                <w:sz w:val="18"/>
                <w:szCs w:val="18"/>
              </w:rPr>
              <w:t xml:space="preserve"> -</w:t>
            </w:r>
            <w:r w:rsidRPr="002A1BF4">
              <w:rPr>
                <w:sz w:val="18"/>
                <w:szCs w:val="18"/>
              </w:rPr>
              <w:t xml:space="preserve"> finansowej za 201</w:t>
            </w:r>
            <w:r w:rsidR="00686AF6">
              <w:rPr>
                <w:sz w:val="18"/>
                <w:szCs w:val="18"/>
              </w:rPr>
              <w:t>9</w:t>
            </w:r>
            <w:r w:rsidRPr="002A1BF4">
              <w:rPr>
                <w:sz w:val="18"/>
                <w:szCs w:val="18"/>
              </w:rPr>
              <w:t xml:space="preserve"> rok</w:t>
            </w:r>
          </w:p>
        </w:tc>
      </w:tr>
      <w:tr w:rsidR="00DD71FF" w:rsidRPr="00D45950" w:rsidTr="00141CFD">
        <w:trPr>
          <w:trHeight w:hRule="exact" w:val="245"/>
          <w:jc w:val="center"/>
        </w:trPr>
        <w:tc>
          <w:tcPr>
            <w:tcW w:w="2405" w:type="dxa"/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Grupa</w:t>
            </w:r>
          </w:p>
        </w:tc>
        <w:tc>
          <w:tcPr>
            <w:tcW w:w="3894" w:type="dxa"/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Wskaźnik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Wartość wskaźnika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Ocena</w:t>
            </w:r>
          </w:p>
        </w:tc>
      </w:tr>
      <w:tr w:rsidR="00DD71FF" w:rsidRPr="00D45950" w:rsidTr="00141CFD">
        <w:trPr>
          <w:trHeight w:hRule="exact" w:val="254"/>
          <w:jc w:val="center"/>
        </w:trPr>
        <w:tc>
          <w:tcPr>
            <w:tcW w:w="2405" w:type="dxa"/>
            <w:vMerge w:val="restart"/>
            <w:shd w:val="clear" w:color="auto" w:fill="FFFFFF" w:themeFill="background1"/>
            <w:vAlign w:val="center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1. Wskaźniki zyskowności</w:t>
            </w:r>
          </w:p>
        </w:tc>
        <w:tc>
          <w:tcPr>
            <w:tcW w:w="3894" w:type="dxa"/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1) wskaźnik zyskowności netto (%)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D71FF" w:rsidRPr="002A1BF4" w:rsidRDefault="00413890" w:rsidP="00940348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86AF6">
              <w:rPr>
                <w:sz w:val="18"/>
                <w:szCs w:val="18"/>
              </w:rPr>
              <w:t>7,40</w:t>
            </w:r>
            <w:r w:rsidR="006936F7" w:rsidRPr="002A1BF4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D71FF" w:rsidRPr="002A1BF4" w:rsidRDefault="0037309F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D71FF" w:rsidRPr="00D45950" w:rsidTr="00141CFD">
        <w:trPr>
          <w:trHeight w:hRule="exact" w:val="276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:rsidR="00DD71FF" w:rsidRPr="002A1BF4" w:rsidRDefault="00DD7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2) wskaźniki zyskowności działalności operacyjnej (%)</w:t>
            </w:r>
          </w:p>
        </w:tc>
        <w:tc>
          <w:tcPr>
            <w:tcW w:w="0" w:type="auto"/>
            <w:shd w:val="clear" w:color="auto" w:fill="FFFFFF" w:themeFill="background1"/>
          </w:tcPr>
          <w:p w:rsidR="00DD71FF" w:rsidRPr="002A1BF4" w:rsidRDefault="006936F7" w:rsidP="0041389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-</w:t>
            </w:r>
            <w:r w:rsidR="00413890">
              <w:rPr>
                <w:sz w:val="18"/>
                <w:szCs w:val="18"/>
              </w:rPr>
              <w:t>7,03</w:t>
            </w:r>
            <w:r w:rsidRPr="002A1BF4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0</w:t>
            </w:r>
          </w:p>
        </w:tc>
      </w:tr>
      <w:tr w:rsidR="00DD71FF" w:rsidRPr="00D45950" w:rsidTr="00141CFD">
        <w:trPr>
          <w:trHeight w:hRule="exact" w:val="269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:rsidR="00DD71FF" w:rsidRPr="002A1BF4" w:rsidRDefault="00DD7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3) wskaźniki zyskowności aktywów (%)</w:t>
            </w:r>
          </w:p>
        </w:tc>
        <w:tc>
          <w:tcPr>
            <w:tcW w:w="0" w:type="auto"/>
            <w:shd w:val="clear" w:color="auto" w:fill="FFFFFF" w:themeFill="background1"/>
          </w:tcPr>
          <w:p w:rsidR="00DD71FF" w:rsidRPr="002A1BF4" w:rsidRDefault="006936F7" w:rsidP="0037309F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-</w:t>
            </w:r>
            <w:r w:rsidR="0037309F">
              <w:rPr>
                <w:sz w:val="18"/>
                <w:szCs w:val="18"/>
              </w:rPr>
              <w:t>15,35</w:t>
            </w:r>
            <w:r w:rsidRPr="002A1BF4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</w:tcPr>
          <w:p w:rsidR="00DD71FF" w:rsidRPr="002A1BF4" w:rsidRDefault="00373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</w:tr>
      <w:tr w:rsidR="00DD71FF" w:rsidRPr="00D45950" w:rsidTr="00002A7D">
        <w:trPr>
          <w:trHeight w:hRule="exact" w:val="221"/>
          <w:jc w:val="center"/>
        </w:trPr>
        <w:tc>
          <w:tcPr>
            <w:tcW w:w="0" w:type="auto"/>
            <w:gridSpan w:val="2"/>
            <w:shd w:val="clear" w:color="auto" w:fill="FFFFFF" w:themeFill="background1"/>
          </w:tcPr>
          <w:p w:rsidR="00DD71FF" w:rsidRPr="002A1BF4" w:rsidRDefault="00DD7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D71FF" w:rsidRPr="002A1BF4" w:rsidRDefault="006936F7">
            <w:pPr>
              <w:pStyle w:val="Inne0"/>
              <w:shd w:val="clear" w:color="auto" w:fill="auto"/>
              <w:tabs>
                <w:tab w:val="left" w:pos="2558"/>
              </w:tabs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1.Razem</w:t>
            </w:r>
            <w:r w:rsidR="00405ECB" w:rsidRPr="002A1BF4">
              <w:rPr>
                <w:sz w:val="18"/>
                <w:szCs w:val="18"/>
              </w:rPr>
              <w:t xml:space="preserve">           </w:t>
            </w:r>
            <w:r w:rsidR="0037309F">
              <w:rPr>
                <w:sz w:val="18"/>
                <w:szCs w:val="18"/>
              </w:rPr>
              <w:t xml:space="preserve">                      </w:t>
            </w:r>
            <w:r w:rsidR="00405ECB" w:rsidRPr="002A1BF4">
              <w:rPr>
                <w:sz w:val="18"/>
                <w:szCs w:val="18"/>
              </w:rPr>
              <w:t xml:space="preserve">  </w:t>
            </w:r>
            <w:r w:rsidRPr="002A1BF4">
              <w:rPr>
                <w:sz w:val="18"/>
                <w:szCs w:val="18"/>
              </w:rPr>
              <w:t>0</w:t>
            </w:r>
          </w:p>
        </w:tc>
      </w:tr>
      <w:tr w:rsidR="00002A7D" w:rsidRPr="00D45950" w:rsidTr="002A6099">
        <w:trPr>
          <w:trHeight w:hRule="exact" w:val="211"/>
          <w:jc w:val="center"/>
        </w:trPr>
        <w:tc>
          <w:tcPr>
            <w:tcW w:w="0" w:type="auto"/>
            <w:gridSpan w:val="4"/>
            <w:shd w:val="clear" w:color="auto" w:fill="FFFFFF" w:themeFill="background1"/>
          </w:tcPr>
          <w:p w:rsidR="00002A7D" w:rsidRPr="002A1BF4" w:rsidRDefault="00002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FD" w:rsidRPr="00D45950" w:rsidTr="00141CFD">
        <w:trPr>
          <w:trHeight w:hRule="exact" w:val="302"/>
          <w:jc w:val="center"/>
        </w:trPr>
        <w:tc>
          <w:tcPr>
            <w:tcW w:w="2405" w:type="dxa"/>
            <w:vMerge w:val="restart"/>
            <w:shd w:val="clear" w:color="auto" w:fill="FFFFFF" w:themeFill="background1"/>
          </w:tcPr>
          <w:p w:rsidR="00141CFD" w:rsidRPr="002A1BF4" w:rsidRDefault="00141CFD" w:rsidP="002A6099">
            <w:pPr>
              <w:pStyle w:val="Inne0"/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2. Wskaźniki płynności</w:t>
            </w:r>
          </w:p>
        </w:tc>
        <w:tc>
          <w:tcPr>
            <w:tcW w:w="3894" w:type="dxa"/>
            <w:shd w:val="clear" w:color="auto" w:fill="FFFFFF" w:themeFill="background1"/>
            <w:vAlign w:val="bottom"/>
          </w:tcPr>
          <w:p w:rsidR="00141CFD" w:rsidRPr="002A1BF4" w:rsidRDefault="00141CFD">
            <w:pPr>
              <w:pStyle w:val="Inne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1) wskaźnik bieżącej płynności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1CFD" w:rsidRPr="002A1BF4" w:rsidRDefault="00141CFD" w:rsidP="006B1425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0,</w:t>
            </w:r>
            <w:r w:rsidR="006B1425" w:rsidRPr="002A1BF4">
              <w:rPr>
                <w:sz w:val="18"/>
                <w:szCs w:val="18"/>
              </w:rPr>
              <w:t>3</w:t>
            </w:r>
            <w:r w:rsidR="0037309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1CFD" w:rsidRPr="002A1BF4" w:rsidRDefault="00141CFD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0</w:t>
            </w:r>
          </w:p>
        </w:tc>
      </w:tr>
      <w:tr w:rsidR="00141CFD" w:rsidRPr="00D45950" w:rsidTr="00141CFD">
        <w:trPr>
          <w:trHeight w:hRule="exact" w:val="265"/>
          <w:jc w:val="center"/>
        </w:trPr>
        <w:tc>
          <w:tcPr>
            <w:tcW w:w="2405" w:type="dxa"/>
            <w:vMerge/>
            <w:shd w:val="clear" w:color="auto" w:fill="FFFFFF" w:themeFill="background1"/>
          </w:tcPr>
          <w:p w:rsidR="00141CFD" w:rsidRPr="002A1BF4" w:rsidRDefault="00141CFD">
            <w:pPr>
              <w:pStyle w:val="Inne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141CFD" w:rsidRPr="002A1BF4" w:rsidRDefault="00141CFD">
            <w:pPr>
              <w:pStyle w:val="Inne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2) wskaźniki szybkiej płynności</w:t>
            </w:r>
          </w:p>
        </w:tc>
        <w:tc>
          <w:tcPr>
            <w:tcW w:w="0" w:type="auto"/>
            <w:shd w:val="clear" w:color="auto" w:fill="FFFFFF" w:themeFill="background1"/>
          </w:tcPr>
          <w:p w:rsidR="00141CFD" w:rsidRPr="002A1BF4" w:rsidRDefault="00141CFD" w:rsidP="0037309F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0,</w:t>
            </w:r>
            <w:r w:rsidR="0037309F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1CFD" w:rsidRPr="002A1BF4" w:rsidRDefault="00141CFD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0</w:t>
            </w:r>
          </w:p>
        </w:tc>
      </w:tr>
      <w:tr w:rsidR="00DD71FF" w:rsidRPr="00D45950" w:rsidTr="00002A7D">
        <w:trPr>
          <w:trHeight w:hRule="exact" w:val="240"/>
          <w:jc w:val="center"/>
        </w:trPr>
        <w:tc>
          <w:tcPr>
            <w:tcW w:w="0" w:type="auto"/>
            <w:gridSpan w:val="2"/>
            <w:shd w:val="clear" w:color="auto" w:fill="FFFFFF" w:themeFill="background1"/>
          </w:tcPr>
          <w:p w:rsidR="00DD71FF" w:rsidRPr="002A1BF4" w:rsidRDefault="00DD7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D71FF" w:rsidRPr="002A1BF4" w:rsidRDefault="006936F7" w:rsidP="0037309F">
            <w:pPr>
              <w:pStyle w:val="Inne0"/>
              <w:shd w:val="clear" w:color="auto" w:fill="auto"/>
              <w:tabs>
                <w:tab w:val="left" w:pos="2578"/>
              </w:tabs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2.Razem</w:t>
            </w:r>
            <w:r w:rsidRPr="002A1BF4">
              <w:rPr>
                <w:sz w:val="18"/>
                <w:szCs w:val="18"/>
              </w:rPr>
              <w:tab/>
            </w:r>
            <w:r w:rsidR="0037309F">
              <w:rPr>
                <w:sz w:val="18"/>
                <w:szCs w:val="18"/>
              </w:rPr>
              <w:t>0</w:t>
            </w:r>
          </w:p>
        </w:tc>
      </w:tr>
      <w:tr w:rsidR="00405ECB" w:rsidRPr="00D45950" w:rsidTr="002A6099">
        <w:trPr>
          <w:trHeight w:hRule="exact" w:val="206"/>
          <w:jc w:val="center"/>
        </w:trPr>
        <w:tc>
          <w:tcPr>
            <w:tcW w:w="0" w:type="auto"/>
            <w:gridSpan w:val="4"/>
            <w:shd w:val="clear" w:color="auto" w:fill="FFFFFF" w:themeFill="background1"/>
          </w:tcPr>
          <w:p w:rsidR="00405ECB" w:rsidRPr="002A1BF4" w:rsidRDefault="00405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FD" w:rsidRPr="00D45950" w:rsidTr="00141CFD">
        <w:trPr>
          <w:trHeight w:hRule="exact" w:val="293"/>
          <w:jc w:val="center"/>
        </w:trPr>
        <w:tc>
          <w:tcPr>
            <w:tcW w:w="2405" w:type="dxa"/>
            <w:vMerge w:val="restart"/>
            <w:shd w:val="clear" w:color="auto" w:fill="FFFFFF" w:themeFill="background1"/>
          </w:tcPr>
          <w:p w:rsidR="00141CFD" w:rsidRPr="002A1BF4" w:rsidRDefault="00141CFD" w:rsidP="002A6099">
            <w:pPr>
              <w:pStyle w:val="Inne0"/>
              <w:spacing w:after="0" w:line="240" w:lineRule="auto"/>
              <w:jc w:val="both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3.Wskaźniki efektywności</w:t>
            </w:r>
          </w:p>
        </w:tc>
        <w:tc>
          <w:tcPr>
            <w:tcW w:w="3894" w:type="dxa"/>
            <w:shd w:val="clear" w:color="auto" w:fill="FFFFFF" w:themeFill="background1"/>
            <w:vAlign w:val="bottom"/>
          </w:tcPr>
          <w:p w:rsidR="00141CFD" w:rsidRPr="002A1BF4" w:rsidRDefault="00141CFD">
            <w:pPr>
              <w:pStyle w:val="Inne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1) wskaźnik rotacji należności (w dniach)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1CFD" w:rsidRPr="002A1BF4" w:rsidRDefault="0037309F" w:rsidP="0037309F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1CFD" w:rsidRPr="002A1BF4" w:rsidRDefault="005C4574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3</w:t>
            </w:r>
          </w:p>
        </w:tc>
      </w:tr>
      <w:tr w:rsidR="00141CFD" w:rsidRPr="00D45950" w:rsidTr="00141CFD">
        <w:trPr>
          <w:trHeight w:hRule="exact" w:val="252"/>
          <w:jc w:val="center"/>
        </w:trPr>
        <w:tc>
          <w:tcPr>
            <w:tcW w:w="2405" w:type="dxa"/>
            <w:vMerge/>
            <w:shd w:val="clear" w:color="auto" w:fill="FFFFFF" w:themeFill="background1"/>
            <w:vAlign w:val="bottom"/>
          </w:tcPr>
          <w:p w:rsidR="00141CFD" w:rsidRPr="002A1BF4" w:rsidRDefault="00141CFD">
            <w:pPr>
              <w:pStyle w:val="Inne0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141CFD" w:rsidRPr="002A1BF4" w:rsidRDefault="00141CFD">
            <w:pPr>
              <w:pStyle w:val="Inne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2) wskaźniki rotacji zobowiązań (w dniach)</w:t>
            </w:r>
          </w:p>
        </w:tc>
        <w:tc>
          <w:tcPr>
            <w:tcW w:w="0" w:type="auto"/>
            <w:shd w:val="clear" w:color="auto" w:fill="FFFFFF" w:themeFill="background1"/>
          </w:tcPr>
          <w:p w:rsidR="00141CFD" w:rsidRPr="002A1BF4" w:rsidRDefault="0037309F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39,45</w:t>
            </w:r>
            <w:r w:rsidR="005C4574" w:rsidRPr="002A1BF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141CFD" w:rsidRPr="002A1BF4" w:rsidRDefault="00141CFD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606060"/>
                <w:sz w:val="18"/>
                <w:szCs w:val="18"/>
              </w:rPr>
              <w:t>7</w:t>
            </w:r>
          </w:p>
        </w:tc>
      </w:tr>
      <w:tr w:rsidR="00DD71FF" w:rsidRPr="00D45950" w:rsidTr="00002A7D">
        <w:trPr>
          <w:trHeight w:hRule="exact" w:val="250"/>
          <w:jc w:val="center"/>
        </w:trPr>
        <w:tc>
          <w:tcPr>
            <w:tcW w:w="0" w:type="auto"/>
            <w:gridSpan w:val="2"/>
            <w:shd w:val="clear" w:color="auto" w:fill="FFFFFF" w:themeFill="background1"/>
          </w:tcPr>
          <w:p w:rsidR="00DD71FF" w:rsidRPr="002A1BF4" w:rsidRDefault="00DD7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tabs>
                <w:tab w:val="left" w:pos="2539"/>
              </w:tabs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3.Razem</w:t>
            </w:r>
            <w:r w:rsidR="00E8024F" w:rsidRPr="002A1BF4">
              <w:rPr>
                <w:sz w:val="18"/>
                <w:szCs w:val="18"/>
              </w:rPr>
              <w:t xml:space="preserve">   </w:t>
            </w:r>
            <w:r w:rsidR="0037309F">
              <w:rPr>
                <w:sz w:val="18"/>
                <w:szCs w:val="18"/>
              </w:rPr>
              <w:t xml:space="preserve">                               </w:t>
            </w:r>
            <w:r w:rsidR="00E8024F" w:rsidRPr="002A1BF4">
              <w:rPr>
                <w:sz w:val="18"/>
                <w:szCs w:val="18"/>
              </w:rPr>
              <w:t>10</w:t>
            </w:r>
            <w:r w:rsidRPr="002A1BF4">
              <w:rPr>
                <w:sz w:val="18"/>
                <w:szCs w:val="18"/>
              </w:rPr>
              <w:tab/>
              <w:t>10</w:t>
            </w:r>
          </w:p>
        </w:tc>
      </w:tr>
      <w:tr w:rsidR="00405ECB" w:rsidRPr="00D45950" w:rsidTr="002A6099">
        <w:trPr>
          <w:trHeight w:hRule="exact" w:val="197"/>
          <w:jc w:val="center"/>
        </w:trPr>
        <w:tc>
          <w:tcPr>
            <w:tcW w:w="0" w:type="auto"/>
            <w:gridSpan w:val="4"/>
            <w:shd w:val="clear" w:color="auto" w:fill="FFFFFF" w:themeFill="background1"/>
          </w:tcPr>
          <w:p w:rsidR="00405ECB" w:rsidRPr="002A1BF4" w:rsidRDefault="00405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1FF" w:rsidRPr="00D45950" w:rsidTr="00141CFD">
        <w:trPr>
          <w:trHeight w:hRule="exact" w:val="274"/>
          <w:jc w:val="center"/>
        </w:trPr>
        <w:tc>
          <w:tcPr>
            <w:tcW w:w="2405" w:type="dxa"/>
            <w:vMerge w:val="restart"/>
            <w:shd w:val="clear" w:color="auto" w:fill="FFFFFF" w:themeFill="background1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4.Wskaźniki zadłużenia</w:t>
            </w:r>
          </w:p>
        </w:tc>
        <w:tc>
          <w:tcPr>
            <w:tcW w:w="3894" w:type="dxa"/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1) wskaźnik zadłużenia aktywów (%)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D71FF" w:rsidRPr="002A1BF4" w:rsidRDefault="0037309F" w:rsidP="005C4574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51,21</w:t>
            </w:r>
            <w:r w:rsidR="006936F7" w:rsidRPr="002A1BF4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D71FF" w:rsidRPr="002A1BF4" w:rsidRDefault="0037309F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D71FF" w:rsidRPr="00D45950" w:rsidTr="00141CFD">
        <w:trPr>
          <w:trHeight w:hRule="exact" w:val="282"/>
          <w:jc w:val="center"/>
        </w:trPr>
        <w:tc>
          <w:tcPr>
            <w:tcW w:w="2405" w:type="dxa"/>
            <w:vMerge/>
            <w:shd w:val="clear" w:color="auto" w:fill="FFFFFF" w:themeFill="background1"/>
            <w:vAlign w:val="bottom"/>
          </w:tcPr>
          <w:p w:rsidR="00DD71FF" w:rsidRPr="002A1BF4" w:rsidRDefault="00DD7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2) wskaźniki wypłacalności</w:t>
            </w:r>
          </w:p>
        </w:tc>
        <w:tc>
          <w:tcPr>
            <w:tcW w:w="0" w:type="auto"/>
            <w:shd w:val="clear" w:color="auto" w:fill="FFFFFF" w:themeFill="background1"/>
          </w:tcPr>
          <w:p w:rsidR="00DD71FF" w:rsidRPr="002A1BF4" w:rsidRDefault="0037309F" w:rsidP="00E8024F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-1,52</w:t>
            </w:r>
            <w:r w:rsidR="00E8024F" w:rsidRPr="002A1BF4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</w:tcPr>
          <w:p w:rsidR="00DD71FF" w:rsidRPr="002A1BF4" w:rsidRDefault="0037309F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D71FF" w:rsidRPr="00D45950" w:rsidTr="00002A7D">
        <w:trPr>
          <w:trHeight w:hRule="exact" w:val="245"/>
          <w:jc w:val="center"/>
        </w:trPr>
        <w:tc>
          <w:tcPr>
            <w:tcW w:w="0" w:type="auto"/>
            <w:gridSpan w:val="2"/>
            <w:shd w:val="clear" w:color="auto" w:fill="FFFFFF" w:themeFill="background1"/>
          </w:tcPr>
          <w:p w:rsidR="00DD71FF" w:rsidRPr="002A1BF4" w:rsidRDefault="00DD7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D71FF" w:rsidRPr="002A1BF4" w:rsidRDefault="006936F7" w:rsidP="0037309F">
            <w:pPr>
              <w:pStyle w:val="Inne0"/>
              <w:shd w:val="clear" w:color="auto" w:fill="auto"/>
              <w:tabs>
                <w:tab w:val="left" w:pos="2534"/>
              </w:tabs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4.Razem</w:t>
            </w:r>
            <w:r w:rsidR="00002A7D" w:rsidRPr="002A1BF4">
              <w:rPr>
                <w:sz w:val="18"/>
                <w:szCs w:val="18"/>
              </w:rPr>
              <w:t xml:space="preserve">          </w:t>
            </w:r>
            <w:r w:rsidR="0037309F">
              <w:rPr>
                <w:sz w:val="18"/>
                <w:szCs w:val="18"/>
              </w:rPr>
              <w:t xml:space="preserve">                           8   </w:t>
            </w:r>
            <w:r w:rsidRPr="002A1BF4">
              <w:rPr>
                <w:sz w:val="18"/>
                <w:szCs w:val="18"/>
              </w:rPr>
              <w:tab/>
              <w:t>10</w:t>
            </w:r>
          </w:p>
        </w:tc>
      </w:tr>
      <w:tr w:rsidR="00AC3DE1" w:rsidRPr="00D45950" w:rsidTr="002A6099">
        <w:trPr>
          <w:trHeight w:hRule="exact" w:val="245"/>
          <w:jc w:val="center"/>
        </w:trPr>
        <w:tc>
          <w:tcPr>
            <w:tcW w:w="0" w:type="auto"/>
            <w:gridSpan w:val="4"/>
            <w:shd w:val="clear" w:color="auto" w:fill="FFFFFF" w:themeFill="background1"/>
          </w:tcPr>
          <w:p w:rsidR="00AC3DE1" w:rsidRPr="002A1BF4" w:rsidRDefault="00AC3DE1">
            <w:pPr>
              <w:pStyle w:val="Inne0"/>
              <w:shd w:val="clear" w:color="auto" w:fill="auto"/>
              <w:tabs>
                <w:tab w:val="left" w:pos="2534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2A7D" w:rsidRPr="001628A4" w:rsidTr="00002A7D">
        <w:trPr>
          <w:trHeight w:hRule="exact" w:val="245"/>
          <w:jc w:val="center"/>
        </w:trPr>
        <w:tc>
          <w:tcPr>
            <w:tcW w:w="0" w:type="auto"/>
            <w:gridSpan w:val="2"/>
            <w:shd w:val="clear" w:color="auto" w:fill="FFFFFF" w:themeFill="background1"/>
          </w:tcPr>
          <w:p w:rsidR="00002A7D" w:rsidRPr="001628A4" w:rsidRDefault="00002A7D" w:rsidP="00002A7D">
            <w:pPr>
              <w:jc w:val="right"/>
              <w:rPr>
                <w:rFonts w:ascii="Times New Roman" w:hAnsi="Times New Roman" w:cs="Times New Roman"/>
              </w:rPr>
            </w:pPr>
            <w:r w:rsidRPr="001628A4">
              <w:rPr>
                <w:rFonts w:ascii="Times New Roman" w:hAnsi="Times New Roman" w:cs="Times New Roman"/>
              </w:rPr>
              <w:t>Łączna wartość punktów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02A7D" w:rsidRPr="001628A4" w:rsidRDefault="0037309F" w:rsidP="00E8024F">
            <w:pPr>
              <w:pStyle w:val="Inne0"/>
              <w:shd w:val="clear" w:color="auto" w:fill="auto"/>
              <w:tabs>
                <w:tab w:val="left" w:pos="25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DD71FF" w:rsidRPr="001628A4" w:rsidRDefault="00DD71FF">
      <w:pPr>
        <w:spacing w:after="319" w:line="1" w:lineRule="exact"/>
        <w:rPr>
          <w:rFonts w:ascii="Times New Roman" w:hAnsi="Times New Roman" w:cs="Times New Roman"/>
        </w:rPr>
      </w:pPr>
    </w:p>
    <w:p w:rsidR="00DD71FF" w:rsidRPr="000F4929" w:rsidRDefault="0077770B" w:rsidP="00D45950">
      <w:pPr>
        <w:pStyle w:val="Teksttreci0"/>
        <w:shd w:val="clear" w:color="auto" w:fill="auto"/>
        <w:spacing w:after="0" w:line="37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36F7" w:rsidRPr="000F4929">
        <w:rPr>
          <w:sz w:val="28"/>
          <w:szCs w:val="28"/>
        </w:rPr>
        <w:t>Wskaźniki zyskowności określają zdolność podmiotu do generowania zysków, a zatem ekonomiczną efektywność działalności. Ujemne wartości wskaźników informują, że koszty przewyższają przychody:</w:t>
      </w:r>
    </w:p>
    <w:p w:rsidR="00DD71FF" w:rsidRPr="000F4929" w:rsidRDefault="006936F7" w:rsidP="005A412C">
      <w:pPr>
        <w:pStyle w:val="Teksttreci0"/>
        <w:shd w:val="clear" w:color="auto" w:fill="auto"/>
        <w:spacing w:after="0" w:line="374" w:lineRule="auto"/>
        <w:jc w:val="both"/>
        <w:rPr>
          <w:sz w:val="28"/>
          <w:szCs w:val="28"/>
        </w:rPr>
      </w:pPr>
      <w:r w:rsidRPr="000F4929">
        <w:rPr>
          <w:sz w:val="28"/>
          <w:szCs w:val="28"/>
        </w:rPr>
        <w:t>- Wskaźnik zyskowności netto (%) o wartości (-)</w:t>
      </w:r>
      <w:r w:rsidR="00E8024F" w:rsidRPr="000F4929">
        <w:rPr>
          <w:sz w:val="28"/>
          <w:szCs w:val="28"/>
        </w:rPr>
        <w:t xml:space="preserve"> </w:t>
      </w:r>
      <w:r w:rsidR="00A60995">
        <w:rPr>
          <w:sz w:val="28"/>
          <w:szCs w:val="28"/>
        </w:rPr>
        <w:t>7,4</w:t>
      </w:r>
      <w:r w:rsidRPr="000F4929">
        <w:rPr>
          <w:sz w:val="28"/>
          <w:szCs w:val="28"/>
        </w:rPr>
        <w:t>% obrazuje, jaką część przychodów stanowi odnotowana za rok obrotowy 201</w:t>
      </w:r>
      <w:r w:rsidR="00FF25D4">
        <w:rPr>
          <w:sz w:val="28"/>
          <w:szCs w:val="28"/>
        </w:rPr>
        <w:t>9</w:t>
      </w:r>
      <w:r w:rsidRPr="000F4929">
        <w:rPr>
          <w:sz w:val="28"/>
          <w:szCs w:val="28"/>
        </w:rPr>
        <w:t xml:space="preserve"> strata. W ten sposób jest określona efektywność gospodarki finansowej w odniesieniu do relacji przychody ogółem </w:t>
      </w:r>
      <w:r w:rsidRPr="000F4929">
        <w:rPr>
          <w:color w:val="606060"/>
          <w:sz w:val="28"/>
          <w:szCs w:val="28"/>
        </w:rPr>
        <w:t xml:space="preserve">- </w:t>
      </w:r>
      <w:r w:rsidRPr="000F4929">
        <w:rPr>
          <w:sz w:val="28"/>
          <w:szCs w:val="28"/>
        </w:rPr>
        <w:t>koszty ogółem podmiotu.</w:t>
      </w:r>
    </w:p>
    <w:p w:rsidR="00DD71FF" w:rsidRPr="000F4929" w:rsidRDefault="006936F7">
      <w:pPr>
        <w:pStyle w:val="Teksttreci0"/>
        <w:shd w:val="clear" w:color="auto" w:fill="auto"/>
        <w:spacing w:after="480" w:line="379" w:lineRule="auto"/>
        <w:jc w:val="both"/>
        <w:rPr>
          <w:sz w:val="28"/>
          <w:szCs w:val="28"/>
        </w:rPr>
      </w:pPr>
      <w:r w:rsidRPr="000F4929">
        <w:rPr>
          <w:sz w:val="28"/>
          <w:szCs w:val="28"/>
        </w:rPr>
        <w:t>- Zakład w roku 201</w:t>
      </w:r>
      <w:r w:rsidR="00FF25D4">
        <w:rPr>
          <w:sz w:val="28"/>
          <w:szCs w:val="28"/>
        </w:rPr>
        <w:t>9</w:t>
      </w:r>
      <w:r w:rsidRPr="000F4929">
        <w:rPr>
          <w:sz w:val="28"/>
          <w:szCs w:val="28"/>
        </w:rPr>
        <w:t xml:space="preserve"> osiągnął wskaźnik zyskowności działalności operacyjnej (%) na poziomie (- )</w:t>
      </w:r>
      <w:r w:rsidR="00A60995">
        <w:rPr>
          <w:sz w:val="28"/>
          <w:szCs w:val="28"/>
        </w:rPr>
        <w:t>7,03</w:t>
      </w:r>
      <w:r w:rsidRPr="000F4929">
        <w:rPr>
          <w:sz w:val="28"/>
          <w:szCs w:val="28"/>
        </w:rPr>
        <w:t>%, co oznacza ekonomiczną nieefektywność działania naszego Szpitala (z uwzględnieniem działalności podstawowej oraz pozostałej działalności operacyjnej).</w:t>
      </w:r>
    </w:p>
    <w:p w:rsidR="00DD71FF" w:rsidRPr="000F4929" w:rsidRDefault="006936F7">
      <w:pPr>
        <w:pStyle w:val="Teksttreci0"/>
        <w:shd w:val="clear" w:color="auto" w:fill="auto"/>
        <w:spacing w:after="580" w:line="379" w:lineRule="auto"/>
        <w:jc w:val="both"/>
        <w:rPr>
          <w:sz w:val="28"/>
          <w:szCs w:val="28"/>
        </w:rPr>
      </w:pPr>
      <w:r w:rsidRPr="000F4929">
        <w:rPr>
          <w:sz w:val="28"/>
          <w:szCs w:val="28"/>
        </w:rPr>
        <w:t>Wskaźniki płynności określają zdolność podmiotu do terminowego regulowania zaciągniętych zobowiązań krótkoterminowych. Jeżeli poziom wskaźników obniża się, to występuje ryzyko utraty przez podmiot zdolności do terminowego regulowania zobowiązań. W przypadku, gdy wskaźniki są zbyt wysokie, może to świadczyć o nieefektywnym gospodarowaniu posiadanymi środkami obrotowymi, takimi jak zapasy, należności lub środki finansowe.</w:t>
      </w:r>
    </w:p>
    <w:p w:rsidR="00DD71FF" w:rsidRPr="000F4929" w:rsidRDefault="00A60995">
      <w:pPr>
        <w:pStyle w:val="Teksttreci0"/>
        <w:shd w:val="clear" w:color="auto" w:fill="auto"/>
        <w:spacing w:after="580" w:line="38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36F7" w:rsidRPr="000F4929">
        <w:rPr>
          <w:sz w:val="28"/>
          <w:szCs w:val="28"/>
        </w:rPr>
        <w:t xml:space="preserve">Wskaźniki płynności uzyskane przez Szpital  wskaźnik bieżącej płynności na poziomie </w:t>
      </w:r>
      <w:r w:rsidR="00A154E5">
        <w:rPr>
          <w:sz w:val="28"/>
          <w:szCs w:val="28"/>
        </w:rPr>
        <w:t>0,37</w:t>
      </w:r>
      <w:r w:rsidR="006936F7" w:rsidRPr="000F4929">
        <w:rPr>
          <w:sz w:val="28"/>
          <w:szCs w:val="28"/>
        </w:rPr>
        <w:t xml:space="preserve"> oraz wskaźnik szybkiej płynności na poziomie 0,</w:t>
      </w:r>
      <w:r w:rsidR="00A154E5">
        <w:rPr>
          <w:sz w:val="28"/>
          <w:szCs w:val="28"/>
        </w:rPr>
        <w:t>35</w:t>
      </w:r>
      <w:r w:rsidR="006936F7" w:rsidRPr="000F4929">
        <w:rPr>
          <w:sz w:val="28"/>
          <w:szCs w:val="28"/>
        </w:rPr>
        <w:t xml:space="preserve"> wskazują na niską zdolność Zakładu do terminowego spłacania swoich zobowiązań.</w:t>
      </w:r>
    </w:p>
    <w:p w:rsidR="00DD71FF" w:rsidRPr="000F4929" w:rsidRDefault="006936F7">
      <w:pPr>
        <w:pStyle w:val="Teksttreci0"/>
        <w:shd w:val="clear" w:color="auto" w:fill="auto"/>
        <w:spacing w:after="580"/>
        <w:jc w:val="both"/>
        <w:rPr>
          <w:sz w:val="28"/>
          <w:szCs w:val="28"/>
        </w:rPr>
      </w:pPr>
      <w:r w:rsidRPr="000F4929">
        <w:rPr>
          <w:sz w:val="28"/>
          <w:szCs w:val="28"/>
        </w:rPr>
        <w:lastRenderedPageBreak/>
        <w:t xml:space="preserve">Wskaźnik rotacji należności określa długość cyklu oczekiwania podmiotu na uzyskanie należności za świadczone usługi. Wskaźnik rotacji należności - </w:t>
      </w:r>
      <w:r w:rsidR="00A154E5">
        <w:rPr>
          <w:sz w:val="28"/>
          <w:szCs w:val="28"/>
        </w:rPr>
        <w:t>21</w:t>
      </w:r>
      <w:r w:rsidRPr="000F4929">
        <w:rPr>
          <w:sz w:val="28"/>
          <w:szCs w:val="28"/>
        </w:rPr>
        <w:t xml:space="preserve"> dni dla roku 201</w:t>
      </w:r>
      <w:r w:rsidR="00FF25D4">
        <w:rPr>
          <w:sz w:val="28"/>
          <w:szCs w:val="28"/>
        </w:rPr>
        <w:t>9</w:t>
      </w:r>
      <w:r w:rsidRPr="000F4929">
        <w:rPr>
          <w:sz w:val="28"/>
          <w:szCs w:val="28"/>
        </w:rPr>
        <w:t xml:space="preserve"> oznacza, że nasz </w:t>
      </w:r>
      <w:r w:rsidR="00E8024F" w:rsidRPr="000F4929">
        <w:rPr>
          <w:sz w:val="28"/>
          <w:szCs w:val="28"/>
        </w:rPr>
        <w:t>szpital</w:t>
      </w:r>
      <w:r w:rsidRPr="000F4929">
        <w:rPr>
          <w:sz w:val="28"/>
          <w:szCs w:val="28"/>
        </w:rPr>
        <w:t xml:space="preserve"> nie ma trudności ze ściągalnością swoich </w:t>
      </w:r>
      <w:r w:rsidR="00E96ED2" w:rsidRPr="000F4929">
        <w:rPr>
          <w:sz w:val="28"/>
          <w:szCs w:val="28"/>
        </w:rPr>
        <w:t>n</w:t>
      </w:r>
      <w:r w:rsidRPr="000F4929">
        <w:rPr>
          <w:sz w:val="28"/>
          <w:szCs w:val="28"/>
        </w:rPr>
        <w:t xml:space="preserve">ależności. Wskaźniki rotacji zobowiązań na poziomie </w:t>
      </w:r>
      <w:r w:rsidR="00A154E5">
        <w:rPr>
          <w:sz w:val="28"/>
          <w:szCs w:val="28"/>
        </w:rPr>
        <w:t>39</w:t>
      </w:r>
      <w:r w:rsidRPr="000F4929">
        <w:rPr>
          <w:sz w:val="28"/>
          <w:szCs w:val="28"/>
        </w:rPr>
        <w:t xml:space="preserve"> dni w roku 201</w:t>
      </w:r>
      <w:r w:rsidR="00FF25D4">
        <w:rPr>
          <w:sz w:val="28"/>
          <w:szCs w:val="28"/>
        </w:rPr>
        <w:t>9</w:t>
      </w:r>
      <w:r w:rsidRPr="000F4929">
        <w:rPr>
          <w:sz w:val="28"/>
          <w:szCs w:val="28"/>
        </w:rPr>
        <w:t xml:space="preserve"> określa okres, jaki jest potrzebny do spłacenia naszych zobowiązań.</w:t>
      </w:r>
    </w:p>
    <w:p w:rsidR="00E96ED2" w:rsidRPr="000F4929" w:rsidRDefault="006936F7" w:rsidP="00E96ED2">
      <w:pPr>
        <w:pStyle w:val="Teksttreci0"/>
        <w:shd w:val="clear" w:color="auto" w:fill="auto"/>
        <w:spacing w:after="0" w:line="372" w:lineRule="auto"/>
        <w:jc w:val="both"/>
        <w:rPr>
          <w:sz w:val="28"/>
          <w:szCs w:val="28"/>
        </w:rPr>
      </w:pPr>
      <w:r w:rsidRPr="000F4929">
        <w:rPr>
          <w:sz w:val="28"/>
          <w:szCs w:val="28"/>
        </w:rPr>
        <w:t>Wskaźniki zadłużenia osiągnięte w roku 201</w:t>
      </w:r>
      <w:r w:rsidR="00FF25D4">
        <w:rPr>
          <w:sz w:val="28"/>
          <w:szCs w:val="28"/>
        </w:rPr>
        <w:t>9</w:t>
      </w:r>
      <w:r w:rsidRPr="000F4929">
        <w:rPr>
          <w:sz w:val="28"/>
          <w:szCs w:val="28"/>
        </w:rPr>
        <w:t xml:space="preserve"> wskaźnik zadłużenia aktywów na poziomie </w:t>
      </w:r>
      <w:r w:rsidR="00A154E5">
        <w:rPr>
          <w:sz w:val="28"/>
          <w:szCs w:val="28"/>
        </w:rPr>
        <w:t>51</w:t>
      </w:r>
      <w:r w:rsidRPr="000F4929">
        <w:rPr>
          <w:sz w:val="28"/>
          <w:szCs w:val="28"/>
        </w:rPr>
        <w:t xml:space="preserve">% informuje o stopniu finansowania aktywów kapitałami obcymi. Wskaźnik ten określa naszą wiarygodność finansową. Wskaźnik wypłacalności określa wielkość funduszy obcych przypadającą na jednostkę funduszu własnego. Wartość tego wskaźnika na poziomie </w:t>
      </w:r>
      <w:r w:rsidR="00A154E5">
        <w:rPr>
          <w:sz w:val="28"/>
          <w:szCs w:val="28"/>
        </w:rPr>
        <w:t>1,5</w:t>
      </w:r>
      <w:r w:rsidRPr="000F4929">
        <w:rPr>
          <w:sz w:val="28"/>
          <w:szCs w:val="28"/>
        </w:rPr>
        <w:t xml:space="preserve"> wskazuje na utratę zdolności Zakładu do regulowania zobowiązań.</w:t>
      </w:r>
      <w:bookmarkStart w:id="4" w:name="bookmark6"/>
      <w:bookmarkStart w:id="5" w:name="bookmark7"/>
    </w:p>
    <w:p w:rsidR="00086450" w:rsidRPr="000F4929" w:rsidRDefault="00086450" w:rsidP="00E96ED2">
      <w:pPr>
        <w:pStyle w:val="Teksttreci0"/>
        <w:shd w:val="clear" w:color="auto" w:fill="auto"/>
        <w:spacing w:after="0" w:line="372" w:lineRule="auto"/>
        <w:jc w:val="both"/>
        <w:rPr>
          <w:sz w:val="28"/>
          <w:szCs w:val="28"/>
        </w:rPr>
      </w:pPr>
    </w:p>
    <w:p w:rsidR="00E96ED2" w:rsidRPr="000F4929" w:rsidRDefault="00E96ED2" w:rsidP="00E96ED2">
      <w:pPr>
        <w:pStyle w:val="Teksttreci0"/>
        <w:shd w:val="clear" w:color="auto" w:fill="auto"/>
        <w:spacing w:after="0" w:line="372" w:lineRule="auto"/>
        <w:jc w:val="both"/>
        <w:rPr>
          <w:b/>
          <w:sz w:val="28"/>
          <w:szCs w:val="28"/>
        </w:rPr>
      </w:pPr>
    </w:p>
    <w:p w:rsidR="00DD71FF" w:rsidRPr="0077770B" w:rsidRDefault="006936F7" w:rsidP="00C10694">
      <w:pPr>
        <w:pStyle w:val="Teksttreci0"/>
        <w:numPr>
          <w:ilvl w:val="0"/>
          <w:numId w:val="3"/>
        </w:numPr>
        <w:shd w:val="clear" w:color="auto" w:fill="auto"/>
        <w:spacing w:after="0" w:line="372" w:lineRule="auto"/>
        <w:jc w:val="both"/>
        <w:rPr>
          <w:sz w:val="28"/>
          <w:szCs w:val="28"/>
        </w:rPr>
      </w:pPr>
      <w:r w:rsidRPr="000F4929">
        <w:rPr>
          <w:b/>
          <w:sz w:val="28"/>
          <w:szCs w:val="28"/>
        </w:rPr>
        <w:t>INFORMACJA O ISTOTNYCH ZDARZENIACH MAJĄCYCH WPŁYW NA SYTUACJĘ EKONOMICZNO-FINANSOWĄ</w:t>
      </w:r>
      <w:bookmarkEnd w:id="4"/>
      <w:bookmarkEnd w:id="5"/>
    </w:p>
    <w:p w:rsidR="0077770B" w:rsidRPr="000F4929" w:rsidRDefault="0077770B" w:rsidP="0077770B">
      <w:pPr>
        <w:pStyle w:val="Teksttreci0"/>
        <w:shd w:val="clear" w:color="auto" w:fill="auto"/>
        <w:spacing w:after="0" w:line="372" w:lineRule="auto"/>
        <w:jc w:val="both"/>
        <w:rPr>
          <w:sz w:val="28"/>
          <w:szCs w:val="28"/>
        </w:rPr>
      </w:pPr>
    </w:p>
    <w:p w:rsidR="00B32164" w:rsidRPr="000F4929" w:rsidRDefault="0077770B" w:rsidP="00B32164">
      <w:pPr>
        <w:pStyle w:val="Teksttreci0"/>
        <w:shd w:val="clear" w:color="auto" w:fill="auto"/>
        <w:spacing w:after="0" w:line="37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744C" w:rsidRPr="000F4929">
        <w:rPr>
          <w:sz w:val="28"/>
          <w:szCs w:val="28"/>
        </w:rPr>
        <w:t xml:space="preserve">Wejście do </w:t>
      </w:r>
      <w:proofErr w:type="spellStart"/>
      <w:r w:rsidR="00F4744C" w:rsidRPr="000F4929">
        <w:rPr>
          <w:sz w:val="28"/>
          <w:szCs w:val="28"/>
        </w:rPr>
        <w:t>tzw</w:t>
      </w:r>
      <w:proofErr w:type="spellEnd"/>
      <w:r w:rsidR="00F4744C" w:rsidRPr="000F4929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="00F4744C" w:rsidRPr="000F4929">
        <w:rPr>
          <w:sz w:val="28"/>
          <w:szCs w:val="28"/>
        </w:rPr>
        <w:t xml:space="preserve"> </w:t>
      </w:r>
      <w:r w:rsidR="00F4744C" w:rsidRPr="0077770B">
        <w:rPr>
          <w:b/>
          <w:sz w:val="28"/>
          <w:szCs w:val="28"/>
        </w:rPr>
        <w:t>sieci szpitali</w:t>
      </w:r>
      <w:r w:rsidR="00F4744C" w:rsidRPr="000F4929">
        <w:rPr>
          <w:sz w:val="28"/>
          <w:szCs w:val="28"/>
        </w:rPr>
        <w:t>” miało zagwarantować szpita</w:t>
      </w:r>
      <w:r w:rsidR="00B32164" w:rsidRPr="000F4929">
        <w:rPr>
          <w:sz w:val="28"/>
          <w:szCs w:val="28"/>
        </w:rPr>
        <w:t>lowi stabilność finansowania ułatwiając</w:t>
      </w:r>
      <w:r w:rsidR="00042281">
        <w:rPr>
          <w:sz w:val="28"/>
          <w:szCs w:val="28"/>
        </w:rPr>
        <w:t>ą</w:t>
      </w:r>
      <w:r w:rsidR="00B32164" w:rsidRPr="000F4929">
        <w:rPr>
          <w:sz w:val="28"/>
          <w:szCs w:val="28"/>
        </w:rPr>
        <w:t xml:space="preserve"> planowanie i zarzadzanie kosztami. Zbyt niski kontrakt  nie pozwala pokryć straty, któr</w:t>
      </w:r>
      <w:r w:rsidR="008F7CB7" w:rsidRPr="000F4929">
        <w:rPr>
          <w:sz w:val="28"/>
          <w:szCs w:val="28"/>
        </w:rPr>
        <w:t>ą</w:t>
      </w:r>
      <w:r w:rsidR="00B32164" w:rsidRPr="000F4929">
        <w:rPr>
          <w:sz w:val="28"/>
          <w:szCs w:val="28"/>
        </w:rPr>
        <w:t xml:space="preserve"> nadal generujemy. Samo wprowadzenie ryczałtu oraz systemu sieci szpitali nie daje narzędzi do oddłużenia szpitala. Ustalony przez NFZ nie uwzględnia wzrostu kosztów funkcjonowania szpitala, w tym gwarantowanych przepisami podwyżek płac dla pracowników</w:t>
      </w:r>
      <w:r w:rsidR="008F7CB7" w:rsidRPr="000F4929">
        <w:rPr>
          <w:sz w:val="28"/>
          <w:szCs w:val="28"/>
        </w:rPr>
        <w:t>. Na te podwyżki nie ma zabezpieczeni</w:t>
      </w:r>
      <w:r w:rsidR="00042281">
        <w:rPr>
          <w:sz w:val="28"/>
          <w:szCs w:val="28"/>
        </w:rPr>
        <w:t>a</w:t>
      </w:r>
      <w:r w:rsidR="008F7CB7" w:rsidRPr="000F4929">
        <w:rPr>
          <w:sz w:val="28"/>
          <w:szCs w:val="28"/>
        </w:rPr>
        <w:t xml:space="preserve"> w środkach finansowych ze strony NFZ. </w:t>
      </w:r>
      <w:r w:rsidR="00B32164" w:rsidRPr="000F4929">
        <w:rPr>
          <w:sz w:val="28"/>
          <w:szCs w:val="28"/>
        </w:rPr>
        <w:t xml:space="preserve"> </w:t>
      </w:r>
    </w:p>
    <w:p w:rsidR="00DD71FF" w:rsidRPr="000F4929" w:rsidRDefault="008F7CB7" w:rsidP="00B32164">
      <w:pPr>
        <w:pStyle w:val="Teksttreci0"/>
        <w:shd w:val="clear" w:color="auto" w:fill="auto"/>
        <w:spacing w:after="0" w:line="372" w:lineRule="auto"/>
        <w:jc w:val="both"/>
        <w:rPr>
          <w:sz w:val="28"/>
          <w:szCs w:val="28"/>
        </w:rPr>
      </w:pPr>
      <w:r w:rsidRPr="000F4929">
        <w:rPr>
          <w:sz w:val="28"/>
          <w:szCs w:val="28"/>
        </w:rPr>
        <w:t>Przyczyny złego wyniku finansowego z bieżącej działalności szpitala i proponowane działania ma wpływ:</w:t>
      </w:r>
    </w:p>
    <w:p w:rsidR="00DD71FF" w:rsidRPr="000F4929" w:rsidRDefault="006936F7">
      <w:pPr>
        <w:pStyle w:val="Teksttreci0"/>
        <w:numPr>
          <w:ilvl w:val="0"/>
          <w:numId w:val="4"/>
        </w:numPr>
        <w:shd w:val="clear" w:color="auto" w:fill="auto"/>
        <w:tabs>
          <w:tab w:val="left" w:pos="402"/>
        </w:tabs>
        <w:ind w:left="400" w:hanging="400"/>
        <w:jc w:val="both"/>
        <w:rPr>
          <w:sz w:val="28"/>
          <w:szCs w:val="28"/>
        </w:rPr>
      </w:pPr>
      <w:r w:rsidRPr="000F4929">
        <w:rPr>
          <w:sz w:val="28"/>
          <w:szCs w:val="28"/>
        </w:rPr>
        <w:t xml:space="preserve">Zbyt niska wycena świadczeń </w:t>
      </w:r>
      <w:r w:rsidR="00C81E05" w:rsidRPr="000F4929">
        <w:rPr>
          <w:sz w:val="28"/>
          <w:szCs w:val="28"/>
        </w:rPr>
        <w:t>medycznych</w:t>
      </w:r>
      <w:r w:rsidRPr="000F4929">
        <w:rPr>
          <w:sz w:val="28"/>
          <w:szCs w:val="28"/>
        </w:rPr>
        <w:t xml:space="preserve"> - miesięczne przychody z wykonania świadczeń zdrowotnych ni</w:t>
      </w:r>
      <w:r w:rsidR="00C81E05" w:rsidRPr="000F4929">
        <w:rPr>
          <w:sz w:val="28"/>
          <w:szCs w:val="28"/>
        </w:rPr>
        <w:t>e</w:t>
      </w:r>
      <w:r w:rsidRPr="000F4929">
        <w:rPr>
          <w:sz w:val="28"/>
          <w:szCs w:val="28"/>
        </w:rPr>
        <w:t xml:space="preserve"> pokrywają kosztów prowadzonej działalności.</w:t>
      </w:r>
    </w:p>
    <w:p w:rsidR="008F7CB7" w:rsidRPr="000F4929" w:rsidRDefault="008F7CB7">
      <w:pPr>
        <w:pStyle w:val="Teksttreci0"/>
        <w:numPr>
          <w:ilvl w:val="0"/>
          <w:numId w:val="4"/>
        </w:numPr>
        <w:shd w:val="clear" w:color="auto" w:fill="auto"/>
        <w:tabs>
          <w:tab w:val="left" w:pos="402"/>
        </w:tabs>
        <w:ind w:left="400" w:hanging="400"/>
        <w:jc w:val="both"/>
        <w:rPr>
          <w:sz w:val="28"/>
          <w:szCs w:val="28"/>
        </w:rPr>
      </w:pPr>
      <w:r w:rsidRPr="000F4929">
        <w:rPr>
          <w:sz w:val="28"/>
          <w:szCs w:val="28"/>
        </w:rPr>
        <w:t xml:space="preserve">Zbyt niski kontrakt z NFZ </w:t>
      </w:r>
      <w:r w:rsidR="00042281">
        <w:rPr>
          <w:sz w:val="28"/>
          <w:szCs w:val="28"/>
        </w:rPr>
        <w:t>o</w:t>
      </w:r>
      <w:r w:rsidRPr="000F4929">
        <w:rPr>
          <w:sz w:val="28"/>
          <w:szCs w:val="28"/>
        </w:rPr>
        <w:t>graniczona możliwość zwiększenia przychodów przy obecnym sposobie finansowania świadczeń zdrowotnych przez NFZ.</w:t>
      </w:r>
    </w:p>
    <w:p w:rsidR="008F7CB7" w:rsidRPr="000F4929" w:rsidRDefault="008F7CB7">
      <w:pPr>
        <w:pStyle w:val="Teksttreci0"/>
        <w:numPr>
          <w:ilvl w:val="0"/>
          <w:numId w:val="4"/>
        </w:numPr>
        <w:shd w:val="clear" w:color="auto" w:fill="auto"/>
        <w:tabs>
          <w:tab w:val="left" w:pos="402"/>
        </w:tabs>
        <w:ind w:left="400" w:hanging="400"/>
        <w:jc w:val="both"/>
        <w:rPr>
          <w:sz w:val="28"/>
          <w:szCs w:val="28"/>
        </w:rPr>
      </w:pPr>
      <w:r w:rsidRPr="000F4929">
        <w:rPr>
          <w:sz w:val="28"/>
          <w:szCs w:val="28"/>
        </w:rPr>
        <w:t>Trwający od kilku lat brak waloryzacji przez NFZ ceny za świadczone usługi medyczne.</w:t>
      </w:r>
    </w:p>
    <w:p w:rsidR="008F7CB7" w:rsidRPr="000F4929" w:rsidRDefault="008F7CB7">
      <w:pPr>
        <w:pStyle w:val="Teksttreci0"/>
        <w:numPr>
          <w:ilvl w:val="0"/>
          <w:numId w:val="4"/>
        </w:numPr>
        <w:shd w:val="clear" w:color="auto" w:fill="auto"/>
        <w:tabs>
          <w:tab w:val="left" w:pos="402"/>
        </w:tabs>
        <w:ind w:left="400" w:hanging="400"/>
        <w:jc w:val="both"/>
        <w:rPr>
          <w:sz w:val="28"/>
          <w:szCs w:val="28"/>
        </w:rPr>
      </w:pPr>
      <w:r w:rsidRPr="000F4929">
        <w:rPr>
          <w:sz w:val="28"/>
          <w:szCs w:val="28"/>
        </w:rPr>
        <w:t xml:space="preserve">Tendencja wzrostowa kosztów w stopniu wyższym wynikającym ze zmian w zakresie </w:t>
      </w:r>
      <w:r w:rsidR="0073636D" w:rsidRPr="000F4929">
        <w:rPr>
          <w:sz w:val="28"/>
          <w:szCs w:val="28"/>
        </w:rPr>
        <w:t>przychodów.</w:t>
      </w:r>
    </w:p>
    <w:p w:rsidR="008F7CB7" w:rsidRPr="000F4929" w:rsidRDefault="0073636D">
      <w:pPr>
        <w:pStyle w:val="Teksttreci0"/>
        <w:numPr>
          <w:ilvl w:val="0"/>
          <w:numId w:val="4"/>
        </w:numPr>
        <w:shd w:val="clear" w:color="auto" w:fill="auto"/>
        <w:tabs>
          <w:tab w:val="left" w:pos="402"/>
        </w:tabs>
        <w:ind w:left="400" w:hanging="400"/>
        <w:jc w:val="both"/>
        <w:rPr>
          <w:sz w:val="28"/>
          <w:szCs w:val="28"/>
        </w:rPr>
      </w:pPr>
      <w:r w:rsidRPr="000F4929">
        <w:rPr>
          <w:sz w:val="28"/>
          <w:szCs w:val="28"/>
        </w:rPr>
        <w:lastRenderedPageBreak/>
        <w:t>Zbyt wysokie koszty funkcjonowania w stosunku do uzyskiwanych przychodów, w ramach których największą pozycję stanowią wynagrodzenia z pochodnymi. Problemem powodującym wzrost zadłużenia jest także odgórne narzucanie szpitalowi bez wskazywania skąd mają wziąć środki na ich realizację</w:t>
      </w:r>
      <w:r w:rsidR="00042281">
        <w:rPr>
          <w:sz w:val="28"/>
          <w:szCs w:val="28"/>
        </w:rPr>
        <w:t>.</w:t>
      </w:r>
    </w:p>
    <w:p w:rsidR="00DD71FF" w:rsidRPr="000F4929" w:rsidRDefault="006936F7">
      <w:pPr>
        <w:pStyle w:val="Teksttreci0"/>
        <w:numPr>
          <w:ilvl w:val="0"/>
          <w:numId w:val="4"/>
        </w:numPr>
        <w:shd w:val="clear" w:color="auto" w:fill="auto"/>
        <w:tabs>
          <w:tab w:val="left" w:pos="402"/>
        </w:tabs>
        <w:spacing w:line="374" w:lineRule="auto"/>
        <w:ind w:left="400" w:hanging="400"/>
        <w:jc w:val="both"/>
        <w:rPr>
          <w:sz w:val="28"/>
          <w:szCs w:val="28"/>
        </w:rPr>
      </w:pPr>
      <w:r w:rsidRPr="000F4929">
        <w:rPr>
          <w:sz w:val="28"/>
          <w:szCs w:val="28"/>
        </w:rPr>
        <w:t>Podniesienie kosztów pracy od 1 stycznia 201</w:t>
      </w:r>
      <w:r w:rsidR="00FF25D4">
        <w:rPr>
          <w:sz w:val="28"/>
          <w:szCs w:val="28"/>
        </w:rPr>
        <w:t>9</w:t>
      </w:r>
      <w:r w:rsidRPr="000F4929">
        <w:rPr>
          <w:sz w:val="28"/>
          <w:szCs w:val="28"/>
        </w:rPr>
        <w:t xml:space="preserve"> roku wynikającego z wprowadzenia minimalnego wynagrodzenia w wysokości 2</w:t>
      </w:r>
      <w:r w:rsidR="00C81E05" w:rsidRPr="000F4929">
        <w:rPr>
          <w:sz w:val="28"/>
          <w:szCs w:val="28"/>
        </w:rPr>
        <w:t>250</w:t>
      </w:r>
      <w:r w:rsidRPr="000F4929">
        <w:rPr>
          <w:sz w:val="28"/>
          <w:szCs w:val="28"/>
        </w:rPr>
        <w:t xml:space="preserve"> zł oraz minimalnej stawki godzinowej 1</w:t>
      </w:r>
      <w:r w:rsidR="00C81E05" w:rsidRPr="000F4929">
        <w:rPr>
          <w:sz w:val="28"/>
          <w:szCs w:val="28"/>
        </w:rPr>
        <w:t>4</w:t>
      </w:r>
      <w:r w:rsidRPr="000F4929">
        <w:rPr>
          <w:sz w:val="28"/>
          <w:szCs w:val="28"/>
        </w:rPr>
        <w:t xml:space="preserve"> zł w przypadku umów </w:t>
      </w:r>
      <w:proofErr w:type="spellStart"/>
      <w:r w:rsidRPr="000F4929">
        <w:rPr>
          <w:sz w:val="28"/>
          <w:szCs w:val="28"/>
        </w:rPr>
        <w:t>cywilno</w:t>
      </w:r>
      <w:proofErr w:type="spellEnd"/>
      <w:r w:rsidRPr="000F4929">
        <w:rPr>
          <w:sz w:val="28"/>
          <w:szCs w:val="28"/>
        </w:rPr>
        <w:t xml:space="preserve"> - prawnych. Ustawowy wzrost poziomu wynagrodzeń minimalnych spowodował również wzrost cen usług zamawianych przez </w:t>
      </w:r>
      <w:r w:rsidR="00C81E05" w:rsidRPr="000F4929">
        <w:rPr>
          <w:sz w:val="28"/>
          <w:szCs w:val="28"/>
        </w:rPr>
        <w:t>szpital</w:t>
      </w:r>
      <w:r w:rsidRPr="000F4929">
        <w:rPr>
          <w:sz w:val="28"/>
          <w:szCs w:val="28"/>
        </w:rPr>
        <w:t xml:space="preserve"> u wykonawców zewnętrznych.</w:t>
      </w:r>
    </w:p>
    <w:p w:rsidR="00DD71FF" w:rsidRPr="000F4929" w:rsidRDefault="006936F7">
      <w:pPr>
        <w:pStyle w:val="Teksttreci0"/>
        <w:numPr>
          <w:ilvl w:val="0"/>
          <w:numId w:val="4"/>
        </w:numPr>
        <w:shd w:val="clear" w:color="auto" w:fill="auto"/>
        <w:tabs>
          <w:tab w:val="left" w:pos="402"/>
        </w:tabs>
        <w:spacing w:line="374" w:lineRule="auto"/>
        <w:ind w:left="400" w:hanging="400"/>
        <w:jc w:val="both"/>
        <w:rPr>
          <w:sz w:val="28"/>
          <w:szCs w:val="28"/>
        </w:rPr>
      </w:pPr>
      <w:r w:rsidRPr="000F4929">
        <w:rPr>
          <w:sz w:val="28"/>
          <w:szCs w:val="28"/>
        </w:rPr>
        <w:t xml:space="preserve">Zmiana wykładni Ministerstwa Pracy i Polityki Społecznej w zakresie punktu 23 załącznika nr 2 do ustawy o emeryturach pomostowych </w:t>
      </w:r>
      <w:r w:rsidRPr="000F4929">
        <w:rPr>
          <w:color w:val="5F5F5F"/>
          <w:sz w:val="28"/>
          <w:szCs w:val="28"/>
        </w:rPr>
        <w:t xml:space="preserve">- </w:t>
      </w:r>
      <w:r w:rsidRPr="000F4929">
        <w:rPr>
          <w:sz w:val="28"/>
          <w:szCs w:val="28"/>
        </w:rPr>
        <w:t>w odniesieniu do salowej/salowego oraz sanitariuszki/ sanitariusza, jak również instruktora terapii zajęciowej, zatrudnionych w szpitalach</w:t>
      </w:r>
      <w:r w:rsidR="00C81E05" w:rsidRPr="000F4929">
        <w:rPr>
          <w:sz w:val="28"/>
          <w:szCs w:val="28"/>
        </w:rPr>
        <w:t>.</w:t>
      </w:r>
      <w:r w:rsidRPr="000F4929">
        <w:rPr>
          <w:sz w:val="28"/>
          <w:szCs w:val="28"/>
        </w:rPr>
        <w:t xml:space="preserve"> Ministerstwo to, uznało, że ww. stanowiska, występujące </w:t>
      </w:r>
      <w:r w:rsidRPr="000F4929">
        <w:rPr>
          <w:color w:val="5F5F5F"/>
          <w:sz w:val="28"/>
          <w:szCs w:val="28"/>
        </w:rPr>
        <w:t xml:space="preserve"> </w:t>
      </w:r>
      <w:r w:rsidRPr="000F4929">
        <w:rPr>
          <w:sz w:val="28"/>
          <w:szCs w:val="28"/>
        </w:rPr>
        <w:t>ze względu na szczególny charakter pracy i bezpośrednie narażenie w kontakcie z osobami chorymi spełniają ustawowe kryteria pracy w szczególnym charakterze. Dlatego od 1 maja ubiegłego roku ujęto powyższe stanowiska w zakładowym wykazie pracy w szczególnym charakterze, co wpłynęło na zwiększenie liczby osób korzystających z wcześniejszego przejścia na emeryturę a tym samym wzrost wypłat odpraw emerytalnych.</w:t>
      </w:r>
    </w:p>
    <w:p w:rsidR="00DD71FF" w:rsidRPr="00042281" w:rsidRDefault="006936F7">
      <w:pPr>
        <w:pStyle w:val="Teksttreci0"/>
        <w:numPr>
          <w:ilvl w:val="0"/>
          <w:numId w:val="4"/>
        </w:numPr>
        <w:shd w:val="clear" w:color="auto" w:fill="auto"/>
        <w:tabs>
          <w:tab w:val="left" w:pos="402"/>
        </w:tabs>
        <w:spacing w:line="360" w:lineRule="auto"/>
        <w:ind w:left="400" w:hanging="400"/>
        <w:jc w:val="both"/>
        <w:rPr>
          <w:sz w:val="28"/>
          <w:szCs w:val="28"/>
        </w:rPr>
      </w:pPr>
      <w:r w:rsidRPr="000F4929">
        <w:rPr>
          <w:sz w:val="28"/>
          <w:szCs w:val="28"/>
        </w:rPr>
        <w:t>Realizacja podwyżek dla pielęgniarek, która odbywa się na zasadzie refundacji wydatków poniesionych, należy też zaznaczyć, iż część środków na podwyżki z racji zapisu rozporządzenia, to wyłącznie środki własne zakładu, których Narodowy Fundusz Zdrowia</w:t>
      </w:r>
      <w:r w:rsidRPr="00D45950">
        <w:rPr>
          <w:sz w:val="24"/>
          <w:szCs w:val="24"/>
        </w:rPr>
        <w:t xml:space="preserve"> </w:t>
      </w:r>
      <w:r w:rsidRPr="00042281">
        <w:rPr>
          <w:sz w:val="28"/>
          <w:szCs w:val="28"/>
        </w:rPr>
        <w:t>nie refunduje.</w:t>
      </w:r>
    </w:p>
    <w:p w:rsidR="00DD71FF" w:rsidRPr="000F4929" w:rsidRDefault="006936F7">
      <w:pPr>
        <w:pStyle w:val="Teksttreci0"/>
        <w:numPr>
          <w:ilvl w:val="0"/>
          <w:numId w:val="4"/>
        </w:numPr>
        <w:shd w:val="clear" w:color="auto" w:fill="auto"/>
        <w:tabs>
          <w:tab w:val="left" w:pos="402"/>
        </w:tabs>
        <w:spacing w:after="160" w:line="374" w:lineRule="auto"/>
        <w:jc w:val="both"/>
        <w:rPr>
          <w:sz w:val="28"/>
          <w:szCs w:val="28"/>
        </w:rPr>
      </w:pPr>
      <w:r w:rsidRPr="000F4929">
        <w:rPr>
          <w:sz w:val="28"/>
          <w:szCs w:val="28"/>
        </w:rPr>
        <w:t>Niskie wykonanie kontraktu w roku 201</w:t>
      </w:r>
      <w:r w:rsidR="00FF25D4">
        <w:rPr>
          <w:sz w:val="28"/>
          <w:szCs w:val="28"/>
        </w:rPr>
        <w:t>9</w:t>
      </w:r>
      <w:r w:rsidRPr="000F4929">
        <w:rPr>
          <w:sz w:val="28"/>
          <w:szCs w:val="28"/>
        </w:rPr>
        <w:t xml:space="preserve"> spowodowane było:</w:t>
      </w:r>
    </w:p>
    <w:p w:rsidR="00DD71FF" w:rsidRPr="000F4929" w:rsidRDefault="006936F7" w:rsidP="007815E5">
      <w:pPr>
        <w:pStyle w:val="Teksttreci0"/>
        <w:numPr>
          <w:ilvl w:val="0"/>
          <w:numId w:val="5"/>
        </w:numPr>
        <w:shd w:val="clear" w:color="auto" w:fill="auto"/>
        <w:tabs>
          <w:tab w:val="left" w:pos="402"/>
        </w:tabs>
        <w:spacing w:after="140" w:line="379" w:lineRule="auto"/>
        <w:ind w:left="400" w:hanging="400"/>
        <w:jc w:val="both"/>
        <w:rPr>
          <w:sz w:val="28"/>
          <w:szCs w:val="28"/>
        </w:rPr>
      </w:pPr>
      <w:r w:rsidRPr="000F4929">
        <w:rPr>
          <w:sz w:val="28"/>
          <w:szCs w:val="28"/>
        </w:rPr>
        <w:t>Realizacją programu dostosowania pomieszczeń szpitala do obowiązujących przepisów prawa skutkująca zmniejszeniem liczby łóżek.</w:t>
      </w:r>
    </w:p>
    <w:p w:rsidR="00A6556A" w:rsidRPr="000F4929" w:rsidRDefault="00A6556A">
      <w:pPr>
        <w:pStyle w:val="Teksttreci0"/>
        <w:numPr>
          <w:ilvl w:val="0"/>
          <w:numId w:val="5"/>
        </w:numPr>
        <w:shd w:val="clear" w:color="auto" w:fill="auto"/>
        <w:tabs>
          <w:tab w:val="left" w:pos="402"/>
        </w:tabs>
        <w:spacing w:after="140" w:line="379" w:lineRule="auto"/>
        <w:ind w:left="400" w:hanging="400"/>
        <w:jc w:val="both"/>
        <w:rPr>
          <w:sz w:val="28"/>
          <w:szCs w:val="28"/>
        </w:rPr>
      </w:pPr>
      <w:r w:rsidRPr="000F4929">
        <w:rPr>
          <w:color w:val="3B3B3B"/>
          <w:sz w:val="28"/>
          <w:szCs w:val="28"/>
        </w:rPr>
        <w:t>Brak zapłaty za nad wykonania ze strony Narodowego Funduszu Zdrowia.</w:t>
      </w:r>
    </w:p>
    <w:p w:rsidR="00A6556A" w:rsidRPr="000F4929" w:rsidRDefault="00A6556A">
      <w:pPr>
        <w:pStyle w:val="Teksttreci0"/>
        <w:numPr>
          <w:ilvl w:val="0"/>
          <w:numId w:val="5"/>
        </w:numPr>
        <w:shd w:val="clear" w:color="auto" w:fill="auto"/>
        <w:tabs>
          <w:tab w:val="left" w:pos="402"/>
        </w:tabs>
        <w:spacing w:after="140" w:line="379" w:lineRule="auto"/>
        <w:ind w:left="400" w:hanging="400"/>
        <w:jc w:val="both"/>
        <w:rPr>
          <w:sz w:val="28"/>
          <w:szCs w:val="28"/>
        </w:rPr>
      </w:pPr>
      <w:r w:rsidRPr="000F4929">
        <w:rPr>
          <w:color w:val="3B3B3B"/>
          <w:sz w:val="28"/>
          <w:szCs w:val="28"/>
        </w:rPr>
        <w:t xml:space="preserve">Zbyt niska wartość punktu. </w:t>
      </w:r>
    </w:p>
    <w:p w:rsidR="00DD71FF" w:rsidRPr="000F4929" w:rsidRDefault="006936F7">
      <w:pPr>
        <w:pStyle w:val="Teksttreci0"/>
        <w:shd w:val="clear" w:color="auto" w:fill="auto"/>
        <w:spacing w:after="0"/>
        <w:ind w:firstLine="700"/>
        <w:jc w:val="both"/>
        <w:rPr>
          <w:color w:val="3B3B3B"/>
          <w:sz w:val="28"/>
          <w:szCs w:val="28"/>
        </w:rPr>
      </w:pPr>
      <w:r w:rsidRPr="000F4929">
        <w:rPr>
          <w:color w:val="3B3B3B"/>
          <w:sz w:val="28"/>
          <w:szCs w:val="28"/>
        </w:rPr>
        <w:t xml:space="preserve">Wszystkie ww. okoliczności prowadzą do sytuacji, w której co miesiąc stan środków </w:t>
      </w:r>
      <w:r w:rsidRPr="000F4929">
        <w:rPr>
          <w:color w:val="3B3B3B"/>
          <w:sz w:val="28"/>
          <w:szCs w:val="28"/>
        </w:rPr>
        <w:lastRenderedPageBreak/>
        <w:t xml:space="preserve">pieniężnych na koniec miesiąca nie zabezpiecza </w:t>
      </w:r>
      <w:r w:rsidR="00C64267" w:rsidRPr="000F4929">
        <w:rPr>
          <w:color w:val="3B3B3B"/>
          <w:sz w:val="28"/>
          <w:szCs w:val="28"/>
        </w:rPr>
        <w:t>kwoty zapłaty zobowiązań wobec kontrahentów.</w:t>
      </w:r>
      <w:r w:rsidRPr="000F4929">
        <w:rPr>
          <w:color w:val="3B3B3B"/>
          <w:sz w:val="28"/>
          <w:szCs w:val="28"/>
        </w:rPr>
        <w:t xml:space="preserve"> Dlatego co miesiąc</w:t>
      </w:r>
      <w:r w:rsidR="00C64267" w:rsidRPr="000F4929">
        <w:rPr>
          <w:color w:val="3B3B3B"/>
          <w:sz w:val="28"/>
          <w:szCs w:val="28"/>
        </w:rPr>
        <w:t xml:space="preserve"> powstaje niespłacone zobowiązanie i rosnące odsetki. Ś</w:t>
      </w:r>
      <w:r w:rsidRPr="000F4929">
        <w:rPr>
          <w:color w:val="3B3B3B"/>
          <w:sz w:val="28"/>
          <w:szCs w:val="28"/>
        </w:rPr>
        <w:t xml:space="preserve">wiadczenia zdrowotne z Podlaskiego Oddziału Wojewódzkiego NFZ </w:t>
      </w:r>
      <w:r w:rsidR="00C64267" w:rsidRPr="000F4929">
        <w:rPr>
          <w:color w:val="3B3B3B"/>
          <w:sz w:val="28"/>
          <w:szCs w:val="28"/>
        </w:rPr>
        <w:t xml:space="preserve">wpływają pod koniec miesiąca dlatego też szpital </w:t>
      </w:r>
      <w:r w:rsidRPr="000F4929">
        <w:rPr>
          <w:color w:val="3B3B3B"/>
          <w:sz w:val="28"/>
          <w:szCs w:val="28"/>
        </w:rPr>
        <w:t xml:space="preserve"> zmuszony jest posiłkować się kredytem odnawialnym w rachunku bieżącym. </w:t>
      </w:r>
    </w:p>
    <w:p w:rsidR="00DD71FF" w:rsidRPr="000F4929" w:rsidRDefault="006936F7">
      <w:pPr>
        <w:pStyle w:val="Teksttreci0"/>
        <w:shd w:val="clear" w:color="auto" w:fill="auto"/>
        <w:spacing w:after="140"/>
        <w:ind w:firstLine="700"/>
        <w:jc w:val="both"/>
        <w:rPr>
          <w:color w:val="3B3B3B"/>
          <w:sz w:val="28"/>
          <w:szCs w:val="28"/>
        </w:rPr>
      </w:pPr>
      <w:r w:rsidRPr="000F4929">
        <w:rPr>
          <w:color w:val="3B3B3B"/>
          <w:sz w:val="28"/>
          <w:szCs w:val="28"/>
        </w:rPr>
        <w:t xml:space="preserve">Mając na względzie </w:t>
      </w:r>
      <w:r w:rsidR="00B445BA" w:rsidRPr="000F4929">
        <w:rPr>
          <w:color w:val="3B3B3B"/>
          <w:sz w:val="28"/>
          <w:szCs w:val="28"/>
        </w:rPr>
        <w:t>powyższe</w:t>
      </w:r>
      <w:r w:rsidRPr="000F4929">
        <w:rPr>
          <w:color w:val="3B3B3B"/>
          <w:sz w:val="28"/>
          <w:szCs w:val="28"/>
        </w:rPr>
        <w:t xml:space="preserve"> oraz brak sprecyzowanych warunków finansowania działalności Szpitala w II półroczu bieżącego roku oraz na lata kolejne, zmuszeni jesteśmy do przyjęcia założeń do prognozy sytuacji </w:t>
      </w:r>
      <w:proofErr w:type="spellStart"/>
      <w:r w:rsidRPr="000F4929">
        <w:rPr>
          <w:color w:val="3B3B3B"/>
          <w:sz w:val="28"/>
          <w:szCs w:val="28"/>
        </w:rPr>
        <w:t>ekonomiczno</w:t>
      </w:r>
      <w:proofErr w:type="spellEnd"/>
      <w:r w:rsidRPr="000F4929">
        <w:rPr>
          <w:color w:val="3B3B3B"/>
          <w:sz w:val="28"/>
          <w:szCs w:val="28"/>
        </w:rPr>
        <w:t xml:space="preserve"> - finansowej na lata obrotowe 201</w:t>
      </w:r>
      <w:r w:rsidR="00C64267" w:rsidRPr="000F4929">
        <w:rPr>
          <w:color w:val="3B3B3B"/>
          <w:sz w:val="28"/>
          <w:szCs w:val="28"/>
        </w:rPr>
        <w:t>9</w:t>
      </w:r>
      <w:r w:rsidRPr="000F4929">
        <w:rPr>
          <w:color w:val="3B3B3B"/>
          <w:sz w:val="28"/>
          <w:szCs w:val="28"/>
        </w:rPr>
        <w:t xml:space="preserve"> - 20</w:t>
      </w:r>
      <w:r w:rsidR="00C64267" w:rsidRPr="000F4929">
        <w:rPr>
          <w:color w:val="3B3B3B"/>
          <w:sz w:val="28"/>
          <w:szCs w:val="28"/>
        </w:rPr>
        <w:t>2</w:t>
      </w:r>
      <w:r w:rsidR="00D66EB1" w:rsidRPr="000F4929">
        <w:rPr>
          <w:color w:val="3B3B3B"/>
          <w:sz w:val="28"/>
          <w:szCs w:val="28"/>
        </w:rPr>
        <w:t>1</w:t>
      </w:r>
      <w:r w:rsidRPr="000F4929">
        <w:rPr>
          <w:color w:val="3B3B3B"/>
          <w:sz w:val="28"/>
          <w:szCs w:val="28"/>
        </w:rPr>
        <w:t xml:space="preserve"> opisanych w pkt. IV niniejszego Raportu.</w:t>
      </w:r>
    </w:p>
    <w:p w:rsidR="00920E0F" w:rsidRPr="00042281" w:rsidRDefault="00D52620">
      <w:pPr>
        <w:pStyle w:val="Teksttreci0"/>
        <w:shd w:val="clear" w:color="auto" w:fill="auto"/>
        <w:spacing w:after="140"/>
        <w:ind w:firstLine="700"/>
        <w:jc w:val="both"/>
        <w:rPr>
          <w:color w:val="3B3B3B"/>
          <w:sz w:val="32"/>
          <w:szCs w:val="32"/>
        </w:rPr>
      </w:pPr>
      <w:r w:rsidRPr="00042281">
        <w:rPr>
          <w:b/>
          <w:color w:val="3B3B3B"/>
          <w:sz w:val="32"/>
          <w:szCs w:val="32"/>
        </w:rPr>
        <w:t>Analiza otoczenia</w:t>
      </w:r>
    </w:p>
    <w:p w:rsidR="00CC4454" w:rsidRDefault="00D52620" w:rsidP="007C0290">
      <w:pPr>
        <w:pStyle w:val="Teksttreci0"/>
        <w:shd w:val="clear" w:color="auto" w:fill="auto"/>
        <w:spacing w:after="140"/>
        <w:ind w:firstLine="700"/>
        <w:jc w:val="both"/>
        <w:rPr>
          <w:color w:val="3B3B3B"/>
          <w:sz w:val="22"/>
          <w:szCs w:val="22"/>
        </w:rPr>
      </w:pPr>
      <w:r w:rsidRPr="00042281">
        <w:rPr>
          <w:color w:val="3B3B3B"/>
          <w:sz w:val="28"/>
          <w:szCs w:val="28"/>
        </w:rPr>
        <w:t>Szpital mieści się w mieście wojewódzkim o liczbie mieszkańców bliskiej 300.000</w:t>
      </w:r>
      <w:r w:rsidR="00042281">
        <w:rPr>
          <w:color w:val="3B3B3B"/>
          <w:sz w:val="28"/>
          <w:szCs w:val="28"/>
        </w:rPr>
        <w:t xml:space="preserve"> </w:t>
      </w:r>
      <w:r w:rsidRPr="00042281">
        <w:rPr>
          <w:color w:val="3B3B3B"/>
          <w:sz w:val="28"/>
          <w:szCs w:val="28"/>
        </w:rPr>
        <w:t xml:space="preserve">w pobliżu granicy państwa z Litwą i Białorusią. Szpital realizuje odgórny program określony dla województwa: </w:t>
      </w:r>
      <w:r w:rsidR="00042281">
        <w:rPr>
          <w:color w:val="3B3B3B"/>
          <w:sz w:val="28"/>
          <w:szCs w:val="28"/>
        </w:rPr>
        <w:t xml:space="preserve">„ </w:t>
      </w:r>
      <w:r w:rsidRPr="00042281">
        <w:rPr>
          <w:color w:val="3B3B3B"/>
          <w:sz w:val="28"/>
          <w:szCs w:val="28"/>
        </w:rPr>
        <w:t>mapa potrzeb zdrowotnych”. Planowane są przez szpital  oddziały geriatryczn</w:t>
      </w:r>
      <w:r w:rsidR="00042281">
        <w:rPr>
          <w:color w:val="3B3B3B"/>
          <w:sz w:val="28"/>
          <w:szCs w:val="28"/>
        </w:rPr>
        <w:t>e</w:t>
      </w:r>
      <w:r w:rsidRPr="00042281">
        <w:rPr>
          <w:color w:val="3B3B3B"/>
          <w:sz w:val="28"/>
          <w:szCs w:val="28"/>
        </w:rPr>
        <w:t xml:space="preserve"> i Zakład Opiekuńczo – Leczniczy wychodzi naprzeciw oczekiwaniom społeczeństwa, które z uwagi na procesy demograficzne sukcesywnie się starzeje, a co za tym idzie pogarsza się stan zdrowia ludności. W Białymstoku poza Samodzielnym Szpitalem Miejskim im. PCK funkcjonuje 1 </w:t>
      </w:r>
      <w:r w:rsidR="00042281">
        <w:rPr>
          <w:color w:val="3B3B3B"/>
          <w:sz w:val="28"/>
          <w:szCs w:val="28"/>
        </w:rPr>
        <w:t>O</w:t>
      </w:r>
      <w:r w:rsidRPr="00042281">
        <w:rPr>
          <w:color w:val="3B3B3B"/>
          <w:sz w:val="28"/>
          <w:szCs w:val="28"/>
        </w:rPr>
        <w:t xml:space="preserve">ddział Geriatryczny oraz 1 </w:t>
      </w:r>
      <w:r w:rsidR="00042281">
        <w:rPr>
          <w:color w:val="3B3B3B"/>
          <w:sz w:val="28"/>
          <w:szCs w:val="28"/>
        </w:rPr>
        <w:t>O</w:t>
      </w:r>
      <w:r w:rsidRPr="00042281">
        <w:rPr>
          <w:color w:val="3B3B3B"/>
          <w:sz w:val="28"/>
          <w:szCs w:val="28"/>
        </w:rPr>
        <w:t xml:space="preserve">ddział </w:t>
      </w:r>
      <w:r w:rsidR="00042281">
        <w:rPr>
          <w:color w:val="3B3B3B"/>
          <w:sz w:val="28"/>
          <w:szCs w:val="28"/>
        </w:rPr>
        <w:t>Z</w:t>
      </w:r>
      <w:r w:rsidRPr="00042281">
        <w:rPr>
          <w:color w:val="3B3B3B"/>
          <w:sz w:val="28"/>
          <w:szCs w:val="28"/>
        </w:rPr>
        <w:t xml:space="preserve">akładu Opiekuńczo- </w:t>
      </w:r>
      <w:r w:rsidR="007C0290">
        <w:rPr>
          <w:color w:val="3B3B3B"/>
          <w:sz w:val="28"/>
          <w:szCs w:val="28"/>
        </w:rPr>
        <w:t>Leczniczego.</w:t>
      </w:r>
    </w:p>
    <w:p w:rsidR="007D7DFB" w:rsidRPr="000F4929" w:rsidRDefault="007D7DFB">
      <w:pPr>
        <w:pStyle w:val="Teksttreci0"/>
        <w:shd w:val="clear" w:color="auto" w:fill="auto"/>
        <w:spacing w:after="140"/>
        <w:ind w:firstLine="700"/>
        <w:jc w:val="both"/>
        <w:rPr>
          <w:color w:val="3B3B3B"/>
          <w:sz w:val="28"/>
          <w:szCs w:val="28"/>
        </w:rPr>
      </w:pPr>
    </w:p>
    <w:p w:rsidR="00AE08EA" w:rsidRPr="000F4929" w:rsidRDefault="00DA39B4" w:rsidP="007C0290">
      <w:pPr>
        <w:pStyle w:val="Teksttreci0"/>
        <w:shd w:val="clear" w:color="auto" w:fill="auto"/>
        <w:spacing w:after="140"/>
        <w:ind w:firstLine="700"/>
        <w:jc w:val="both"/>
        <w:rPr>
          <w:color w:val="3B3B3B"/>
          <w:sz w:val="28"/>
          <w:szCs w:val="28"/>
        </w:rPr>
      </w:pPr>
      <w:r w:rsidRPr="000F4929">
        <w:rPr>
          <w:color w:val="3B3B3B"/>
          <w:sz w:val="28"/>
          <w:szCs w:val="28"/>
        </w:rPr>
        <w:t>W polityce kadrowej działania restrukturyzacyjne  skierowane będą w stronę dostosowania zatrudnienia, wysokości wynagrodzeń oraz struktury organizacyjnej wynikającej z ilości i zakresu  świadczeń w jednostkach służby zdrowia.(koszty osobowe winny stanowić 65% wszystkich kosztów szpitala).</w:t>
      </w:r>
      <w:r w:rsidR="00AE08EA">
        <w:rPr>
          <w:color w:val="3B3B3B"/>
          <w:sz w:val="28"/>
          <w:szCs w:val="28"/>
        </w:rPr>
        <w:t xml:space="preserve"> </w:t>
      </w:r>
      <w:r w:rsidRPr="000F4929">
        <w:rPr>
          <w:color w:val="3B3B3B"/>
          <w:sz w:val="28"/>
          <w:szCs w:val="28"/>
        </w:rPr>
        <w:t xml:space="preserve">Optymalizacja zatrudnia przyniesie oszczędności w kosztach zatrudnienia.  Planowane zmniejszenie zatrudnienia do 10 etatów. </w:t>
      </w:r>
    </w:p>
    <w:p w:rsidR="00DD71FF" w:rsidRPr="00D11FBA" w:rsidRDefault="00D45950" w:rsidP="00D45950">
      <w:pPr>
        <w:pStyle w:val="Nagwek20"/>
        <w:keepNext/>
        <w:keepLines/>
        <w:numPr>
          <w:ilvl w:val="0"/>
          <w:numId w:val="3"/>
        </w:numPr>
        <w:shd w:val="clear" w:color="auto" w:fill="auto"/>
        <w:tabs>
          <w:tab w:val="left" w:pos="436"/>
        </w:tabs>
        <w:spacing w:before="460" w:after="120"/>
        <w:jc w:val="both"/>
        <w:rPr>
          <w:sz w:val="32"/>
          <w:szCs w:val="32"/>
        </w:rPr>
      </w:pPr>
      <w:bookmarkStart w:id="6" w:name="bookmark8"/>
      <w:bookmarkStart w:id="7" w:name="bookmark9"/>
      <w:r w:rsidRPr="00D11FBA">
        <w:rPr>
          <w:color w:val="393939"/>
          <w:sz w:val="32"/>
          <w:szCs w:val="32"/>
        </w:rPr>
        <w:t xml:space="preserve">  </w:t>
      </w:r>
      <w:r w:rsidR="006936F7" w:rsidRPr="00D11FBA">
        <w:rPr>
          <w:color w:val="393939"/>
          <w:sz w:val="32"/>
          <w:szCs w:val="32"/>
        </w:rPr>
        <w:t>PROGNOZA SYTUACJI EKONOMICZNO-FINANSOWEJ NA LATA</w:t>
      </w:r>
      <w:bookmarkStart w:id="8" w:name="bookmark10"/>
      <w:bookmarkStart w:id="9" w:name="bookmark11"/>
      <w:bookmarkEnd w:id="6"/>
      <w:bookmarkEnd w:id="7"/>
      <w:r w:rsidR="008F51A0" w:rsidRPr="00D11FBA">
        <w:rPr>
          <w:color w:val="393939"/>
          <w:sz w:val="32"/>
          <w:szCs w:val="32"/>
        </w:rPr>
        <w:t xml:space="preserve"> </w:t>
      </w:r>
      <w:r w:rsidR="006936F7" w:rsidRPr="00D11FBA">
        <w:rPr>
          <w:color w:val="393939"/>
          <w:sz w:val="32"/>
          <w:szCs w:val="32"/>
        </w:rPr>
        <w:t>OBROTOWE 201</w:t>
      </w:r>
      <w:r w:rsidR="00C10694" w:rsidRPr="00D11FBA">
        <w:rPr>
          <w:color w:val="393939"/>
          <w:sz w:val="32"/>
          <w:szCs w:val="32"/>
        </w:rPr>
        <w:t>9</w:t>
      </w:r>
      <w:r w:rsidR="006936F7" w:rsidRPr="00D11FBA">
        <w:rPr>
          <w:color w:val="393939"/>
          <w:sz w:val="32"/>
          <w:szCs w:val="32"/>
        </w:rPr>
        <w:t xml:space="preserve"> - 20</w:t>
      </w:r>
      <w:r w:rsidR="00C10694" w:rsidRPr="00D11FBA">
        <w:rPr>
          <w:color w:val="393939"/>
          <w:sz w:val="32"/>
          <w:szCs w:val="32"/>
        </w:rPr>
        <w:t>2</w:t>
      </w:r>
      <w:r w:rsidR="006E56C1">
        <w:rPr>
          <w:color w:val="393939"/>
          <w:sz w:val="32"/>
          <w:szCs w:val="32"/>
        </w:rPr>
        <w:t>2</w:t>
      </w:r>
      <w:r w:rsidR="006936F7" w:rsidRPr="00D11FBA">
        <w:rPr>
          <w:color w:val="393939"/>
          <w:sz w:val="32"/>
          <w:szCs w:val="32"/>
        </w:rPr>
        <w:t xml:space="preserve"> WRAZ Z OPISEM PRZYJĘTYCH ZAŁOŻEŃ</w:t>
      </w:r>
      <w:bookmarkEnd w:id="8"/>
      <w:bookmarkEnd w:id="9"/>
    </w:p>
    <w:p w:rsidR="008F51A0" w:rsidRDefault="008F51A0">
      <w:pPr>
        <w:pStyle w:val="Teksttreci0"/>
        <w:shd w:val="clear" w:color="auto" w:fill="auto"/>
        <w:jc w:val="both"/>
        <w:rPr>
          <w:color w:val="393939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7"/>
        <w:gridCol w:w="7565"/>
      </w:tblGrid>
      <w:tr w:rsidR="006E56C1" w:rsidRPr="006E56C1" w:rsidTr="00A60995">
        <w:trPr>
          <w:trHeight w:val="846"/>
        </w:trPr>
        <w:tc>
          <w:tcPr>
            <w:tcW w:w="2835" w:type="dxa"/>
            <w:shd w:val="clear" w:color="auto" w:fill="auto"/>
          </w:tcPr>
          <w:p w:rsidR="006E56C1" w:rsidRPr="006E56C1" w:rsidRDefault="006E56C1" w:rsidP="006E56C1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sz w:val="16"/>
                <w:szCs w:val="16"/>
                <w:lang w:bidi="ar-SA"/>
              </w:rPr>
            </w:pPr>
          </w:p>
        </w:tc>
        <w:tc>
          <w:tcPr>
            <w:tcW w:w="7655" w:type="dxa"/>
            <w:shd w:val="clear" w:color="auto" w:fill="auto"/>
          </w:tcPr>
          <w:p w:rsidR="006E56C1" w:rsidRPr="006E56C1" w:rsidRDefault="006E56C1" w:rsidP="006E56C1">
            <w:pPr>
              <w:keepNext/>
              <w:suppressAutoHyphens/>
              <w:jc w:val="right"/>
              <w:outlineLvl w:val="0"/>
              <w:rPr>
                <w:rFonts w:ascii="Arial" w:eastAsia="Lucida Sans Unicode" w:hAnsi="Arial" w:cs="Arial"/>
                <w:b/>
                <w:color w:val="auto"/>
                <w:kern w:val="1"/>
                <w:sz w:val="14"/>
                <w:szCs w:val="14"/>
                <w:lang w:bidi="ar-SA"/>
              </w:rPr>
            </w:pPr>
          </w:p>
          <w:p w:rsidR="006E56C1" w:rsidRPr="006E56C1" w:rsidRDefault="006E56C1" w:rsidP="006E56C1">
            <w:pPr>
              <w:keepNext/>
              <w:suppressAutoHyphens/>
              <w:jc w:val="right"/>
              <w:outlineLvl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16"/>
                <w:szCs w:val="16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16"/>
                <w:szCs w:val="16"/>
                <w:lang w:bidi="ar-SA"/>
              </w:rPr>
              <w:t xml:space="preserve">” </w:t>
            </w:r>
          </w:p>
        </w:tc>
      </w:tr>
      <w:tr w:rsidR="006E56C1" w:rsidRPr="006E56C1" w:rsidTr="00A60995">
        <w:trPr>
          <w:trHeight w:val="499"/>
        </w:trPr>
        <w:tc>
          <w:tcPr>
            <w:tcW w:w="2835" w:type="dxa"/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7655" w:type="dxa"/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ahoma"/>
                <w:b/>
                <w:color w:val="auto"/>
                <w:kern w:val="1"/>
                <w:sz w:val="20"/>
                <w:szCs w:val="20"/>
                <w:lang w:bidi="ar-SA"/>
              </w:rPr>
              <w:t>RACHUNEK ZYSKÓW I STRAT</w:t>
            </w:r>
          </w:p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ahoma"/>
                <w:b/>
                <w:color w:val="auto"/>
                <w:kern w:val="1"/>
                <w:sz w:val="20"/>
                <w:szCs w:val="20"/>
                <w:lang w:bidi="ar-SA"/>
              </w:rPr>
              <w:t>Dla podmiotów prowadzących pełną księgowość</w:t>
            </w:r>
          </w:p>
        </w:tc>
      </w:tr>
    </w:tbl>
    <w:p w:rsidR="006E56C1" w:rsidRPr="006E56C1" w:rsidRDefault="006E56C1" w:rsidP="006E56C1">
      <w:pPr>
        <w:suppressAutoHyphens/>
        <w:snapToGrid w:val="0"/>
        <w:jc w:val="both"/>
        <w:rPr>
          <w:rFonts w:ascii="Times New Roman" w:eastAsia="Lucida Sans Unicode" w:hAnsi="Times New Roman" w:cs="Times New Roman"/>
          <w:color w:val="auto"/>
          <w:kern w:val="1"/>
          <w:sz w:val="18"/>
          <w:lang w:bidi="ar-SA"/>
        </w:rPr>
      </w:pPr>
    </w:p>
    <w:p w:rsidR="006E56C1" w:rsidRPr="006E56C1" w:rsidRDefault="006E56C1" w:rsidP="006E56C1">
      <w:pPr>
        <w:suppressAutoHyphens/>
        <w:snapToGrid w:val="0"/>
        <w:jc w:val="both"/>
        <w:rPr>
          <w:rFonts w:ascii="Times New Roman" w:eastAsia="Lucida Sans Unicode" w:hAnsi="Times New Roman" w:cs="Tahoma"/>
          <w:color w:val="auto"/>
          <w:kern w:val="1"/>
          <w:sz w:val="16"/>
          <w:szCs w:val="16"/>
          <w:lang w:bidi="ar-SA"/>
        </w:rPr>
      </w:pPr>
    </w:p>
    <w:tbl>
      <w:tblPr>
        <w:tblW w:w="101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3"/>
        <w:gridCol w:w="1420"/>
        <w:gridCol w:w="1185"/>
        <w:gridCol w:w="1222"/>
        <w:gridCol w:w="1222"/>
      </w:tblGrid>
      <w:tr w:rsidR="006E56C1" w:rsidRPr="006E56C1" w:rsidTr="00A60995">
        <w:trPr>
          <w:cantSplit/>
          <w:trHeight w:val="130"/>
        </w:trPr>
        <w:tc>
          <w:tcPr>
            <w:tcW w:w="5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auto"/>
                <w:kern w:val="1"/>
                <w:sz w:val="20"/>
                <w:szCs w:val="20"/>
                <w:lang w:bidi="ar-SA"/>
              </w:rPr>
              <w:t>Analizowane  okresy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auto"/>
                <w:kern w:val="1"/>
                <w:sz w:val="20"/>
                <w:szCs w:val="20"/>
                <w:vertAlign w:val="superscript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auto"/>
                <w:kern w:val="1"/>
                <w:sz w:val="20"/>
                <w:szCs w:val="20"/>
                <w:vertAlign w:val="superscript"/>
                <w:lang w:bidi="ar-SA"/>
              </w:rPr>
            </w:pPr>
          </w:p>
        </w:tc>
      </w:tr>
      <w:tr w:rsidR="006E56C1" w:rsidRPr="006E56C1" w:rsidTr="00A60995">
        <w:trPr>
          <w:cantSplit/>
          <w:trHeight w:val="494"/>
        </w:trPr>
        <w:tc>
          <w:tcPr>
            <w:tcW w:w="5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6C1" w:rsidRPr="006E56C1" w:rsidRDefault="006E56C1" w:rsidP="006E56C1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31.12.2019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31.12.2020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31.12.2021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  <w:p w:rsidR="006E56C1" w:rsidRPr="006E56C1" w:rsidRDefault="006E56C1" w:rsidP="006E56C1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31.12.2022</w:t>
            </w:r>
          </w:p>
        </w:tc>
      </w:tr>
      <w:tr w:rsidR="006E56C1" w:rsidRPr="006E56C1" w:rsidTr="00A60995">
        <w:trPr>
          <w:cantSplit/>
          <w:trHeight w:val="26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A. Przychody netto ze sprzedaży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15.269.475,14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15.521.290,00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17.020.280,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17.750.000,00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 Przychody netto ze sprzedaży produktów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14.838.200,24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15.070.490,00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16.500.280,00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17.200.000,00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 Zmiana stanu produktów (wzrost + / spadek - 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3. Koszt wytworzenia produktów na własne potrzeby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4. Przychody netto ze sprzedaży towarów i materiałów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432.274,90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450.800,00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520.000,00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550.000,00</w:t>
            </w:r>
          </w:p>
        </w:tc>
      </w:tr>
      <w:tr w:rsidR="006E56C1" w:rsidRPr="006E56C1" w:rsidTr="00A60995">
        <w:trPr>
          <w:cantSplit/>
          <w:trHeight w:val="26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B. Koszty działalności operacyjnej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15680.925,50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16.527.074,00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17.314.320,00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18.062.700,00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 xml:space="preserve">1. Amortyzacja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880.215,50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950.460,00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980.420,00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1.100.000,00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 Zużycie materiałów i energii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1.957.140,00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2.152.854,00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2.225.500,00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2.330.000,00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3. Usługi obce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1.920.850,00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2.200.450,00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2.350.000,00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2.480.000,00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4. Podatki i opłaty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32.850,00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35.920,00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36.400,00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37.200,00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 xml:space="preserve">    w tym podatek akcyzowy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5. Wynagrodzenia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9253.450,00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9.500.000,00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9.900.000,00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10.200.00,00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 xml:space="preserve">    w tym ze stosunku pracy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6. Ubezpieczenia społeczne i inne świadczenia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1.570.420,00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1.620.390,00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1.750.000,00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1.840.000,00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 xml:space="preserve">7. Pozostałe koszty rodzajowe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66.000,-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67.000,00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72.000,00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75.500,00</w:t>
            </w:r>
          </w:p>
        </w:tc>
      </w:tr>
      <w:tr w:rsidR="006E56C1" w:rsidRPr="006E56C1" w:rsidTr="00A60995">
        <w:trPr>
          <w:cantSplit/>
          <w:trHeight w:val="58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 xml:space="preserve">8. Wartość sprzedanych towarów i materiałów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A60995">
        <w:trPr>
          <w:cantSplit/>
          <w:trHeight w:val="26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C. Zysk/ Strata ze sprzedaży (A-B)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-411.450,36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-1.005.784,00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-294.040,00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-312.700,00</w:t>
            </w:r>
          </w:p>
        </w:tc>
      </w:tr>
      <w:tr w:rsidR="006E56C1" w:rsidRPr="006E56C1" w:rsidTr="00A60995">
        <w:trPr>
          <w:cantSplit/>
          <w:trHeight w:val="26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 xml:space="preserve">D. Pozostałe przychody operacyjne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1.455.708,00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1.650.000,00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1.700.000,00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2.000.000,00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 Zysk ze zbycia niefinansowych aktywów trwałych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 Dotacje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350.000,00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400.000,00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600.000,00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800.000,00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3. Inne przychody operacyjne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1.105.708,00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1.250.000,00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1.100.000,00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1.200.000,00</w:t>
            </w:r>
          </w:p>
        </w:tc>
      </w:tr>
      <w:tr w:rsidR="006E56C1" w:rsidRPr="006E56C1" w:rsidTr="00A60995">
        <w:trPr>
          <w:cantSplit/>
          <w:trHeight w:val="26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E. Pozostałe koszty operacyjne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11.380,00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62.000,00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83.000,00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88.000,00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 Strata ze zbycia niefinansowych aktywów trwałych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 Aktualizacja wartości aktywów niefinansowych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3. Inne koszty operacyjne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11.380,00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62.000,00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83.000,00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88.000,00</w:t>
            </w:r>
          </w:p>
        </w:tc>
      </w:tr>
      <w:tr w:rsidR="006E56C1" w:rsidRPr="006E56C1" w:rsidTr="00A60995">
        <w:trPr>
          <w:cantSplit/>
          <w:trHeight w:val="26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F. Zysk/ Strata na działalności operacyjnej (C+D-E)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-1032877,64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582.216,00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1.322.960,00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1.599.300,-</w:t>
            </w:r>
          </w:p>
        </w:tc>
      </w:tr>
      <w:tr w:rsidR="006E56C1" w:rsidRPr="006E56C1" w:rsidTr="00A60995">
        <w:trPr>
          <w:cantSplit/>
          <w:trHeight w:val="26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G. Przychody finansowe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1.620,00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5.300,00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3.000,00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4.500,00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 xml:space="preserve">1. Dywidendy i udziały w zyskach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 xml:space="preserve">    w tym od jednostek powiązanych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A60995">
        <w:trPr>
          <w:cantSplit/>
          <w:trHeight w:val="291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 xml:space="preserve">2. Odsetki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1.620,00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5.300,00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3.000,00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4.500,00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 xml:space="preserve">    w tym od jednostek powiązanych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3. Zysk ze zbycia inwestycji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4. Aktualizacja wartości inwestycji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5. Inne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A60995">
        <w:trPr>
          <w:cantSplit/>
          <w:trHeight w:val="26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H. Koszty finansowe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57.240,00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63.250,00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65.450,00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67.520,00</w:t>
            </w:r>
          </w:p>
        </w:tc>
      </w:tr>
      <w:tr w:rsidR="006E56C1" w:rsidRPr="006E56C1" w:rsidTr="00A60995">
        <w:trPr>
          <w:cantSplit/>
          <w:trHeight w:val="26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4" w:hanging="254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 Odsetki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57.240,00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63.250,00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65.450,00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67.520,00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 xml:space="preserve">    w tym dla jednostek powiązanych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 Strata ze zbycia inwestycji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3. Aktualizacja wartości inwestycji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4. Inne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A60995">
        <w:trPr>
          <w:cantSplit/>
          <w:trHeight w:val="26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val="en-US"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 xml:space="preserve">I. Zysk/ Strata brutto na działalności gosp. </w:t>
            </w: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val="en-US" w:bidi="ar-SA"/>
              </w:rPr>
              <w:t>(F+G-H)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val="en-US"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val="en-US" w:bidi="ar-SA"/>
              </w:rPr>
              <w:t>977.257,64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val="en-US"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val="en-US" w:bidi="ar-SA"/>
              </w:rPr>
              <w:t>524.266,00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val="en-US"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val="en-US" w:bidi="ar-SA"/>
              </w:rPr>
              <w:t>1.260.510,00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val="en-US"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val="en-US" w:bidi="ar-SA"/>
              </w:rPr>
              <w:t>1.536.280,00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J1. Zyski nadzwyczajne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J2. Straty nadzwyczajne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val="26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K. Zysk/ Strata brutto (I+J1-J2)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977257,64-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524.266,00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1.260.510,00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1.536.280,00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L. Podatek dochodowy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keepNext/>
              <w:suppressAutoHyphens/>
              <w:snapToGrid w:val="0"/>
              <w:rPr>
                <w:rFonts w:ascii="Times New Roman" w:eastAsia="Lucida Sans Unicode" w:hAnsi="Times New Roman" w:cs="Tahoma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ahoma"/>
                <w:color w:val="auto"/>
                <w:kern w:val="1"/>
                <w:sz w:val="20"/>
                <w:szCs w:val="20"/>
                <w:lang w:bidi="ar-SA"/>
              </w:rPr>
              <w:t xml:space="preserve">1. Część bieżąca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keepNext/>
              <w:suppressAutoHyphens/>
              <w:snapToGrid w:val="0"/>
              <w:ind w:left="15"/>
              <w:rPr>
                <w:rFonts w:ascii="Times New Roman" w:eastAsia="Lucida Sans Unicode" w:hAnsi="Times New Roman" w:cs="Tahoma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ahoma"/>
                <w:color w:val="auto"/>
                <w:kern w:val="1"/>
                <w:sz w:val="20"/>
                <w:szCs w:val="20"/>
                <w:lang w:bidi="ar-SA"/>
              </w:rPr>
              <w:t>2. Część odroczona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 xml:space="preserve">M. Pozostałe obowiązkowe zmniejszenia zysku </w:t>
            </w:r>
          </w:p>
          <w:p w:rsidR="006E56C1" w:rsidRPr="006E56C1" w:rsidRDefault="006E56C1" w:rsidP="006E56C1">
            <w:pPr>
              <w:suppressAutoHyphens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 xml:space="preserve">     (zwiększenia straty)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val="240"/>
        </w:trPr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N. Zysk/ Strata netto (K-L-M)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977.257,64,-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524.266,00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1.260.510,-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1.536.280,00</w:t>
            </w:r>
          </w:p>
        </w:tc>
      </w:tr>
    </w:tbl>
    <w:p w:rsidR="006E56C1" w:rsidRPr="006E56C1" w:rsidRDefault="006E56C1" w:rsidP="006E56C1">
      <w:pPr>
        <w:suppressAutoHyphens/>
        <w:rPr>
          <w:rFonts w:ascii="Times New Roman" w:eastAsia="Lucida Sans Unicode" w:hAnsi="Times New Roman" w:cs="Times New Roman"/>
          <w:color w:val="auto"/>
          <w:kern w:val="1"/>
          <w:lang w:bidi="ar-SA"/>
        </w:rPr>
        <w:sectPr w:rsidR="006E56C1" w:rsidRPr="006E56C1">
          <w:pgSz w:w="11906" w:h="16838"/>
          <w:pgMar w:top="585" w:right="551" w:bottom="398" w:left="885" w:header="708" w:footer="708" w:gutter="0"/>
          <w:cols w:space="708"/>
          <w:docGrid w:linePitch="360" w:charSpace="32768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71"/>
        <w:gridCol w:w="6551"/>
      </w:tblGrid>
      <w:tr w:rsidR="006E56C1" w:rsidRPr="006E56C1" w:rsidTr="00A60995">
        <w:trPr>
          <w:trHeight w:val="853"/>
        </w:trPr>
        <w:tc>
          <w:tcPr>
            <w:tcW w:w="2835" w:type="dxa"/>
            <w:shd w:val="clear" w:color="auto" w:fill="auto"/>
          </w:tcPr>
          <w:p w:rsidR="006E56C1" w:rsidRPr="006E56C1" w:rsidRDefault="006E56C1" w:rsidP="006E56C1">
            <w:pPr>
              <w:suppressAutoHyphens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16"/>
                <w:szCs w:val="16"/>
                <w:lang w:bidi="ar-SA"/>
              </w:rPr>
            </w:pPr>
          </w:p>
        </w:tc>
        <w:tc>
          <w:tcPr>
            <w:tcW w:w="7655" w:type="dxa"/>
            <w:shd w:val="clear" w:color="auto" w:fill="auto"/>
          </w:tcPr>
          <w:p w:rsidR="006E56C1" w:rsidRPr="006E56C1" w:rsidRDefault="006E56C1" w:rsidP="006E56C1">
            <w:pPr>
              <w:keepNext/>
              <w:suppressAutoHyphens/>
              <w:jc w:val="right"/>
              <w:outlineLvl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16"/>
                <w:szCs w:val="16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16"/>
                <w:szCs w:val="16"/>
                <w:lang w:bidi="ar-SA"/>
              </w:rPr>
              <w:t xml:space="preserve"> </w:t>
            </w:r>
          </w:p>
        </w:tc>
      </w:tr>
      <w:tr w:rsidR="006E56C1" w:rsidRPr="006E56C1" w:rsidTr="00A60995">
        <w:trPr>
          <w:trHeight w:val="499"/>
        </w:trPr>
        <w:tc>
          <w:tcPr>
            <w:tcW w:w="2835" w:type="dxa"/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auto"/>
                <w:kern w:val="1"/>
                <w:sz w:val="20"/>
                <w:szCs w:val="20"/>
                <w:lang w:bidi="ar-SA"/>
              </w:rPr>
            </w:pPr>
          </w:p>
          <w:p w:rsidR="006E56C1" w:rsidRPr="006E56C1" w:rsidRDefault="006E56C1" w:rsidP="006E56C1">
            <w:pPr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7655" w:type="dxa"/>
            <w:shd w:val="clear" w:color="auto" w:fill="auto"/>
          </w:tcPr>
          <w:p w:rsidR="006E56C1" w:rsidRPr="006E56C1" w:rsidRDefault="006E56C1" w:rsidP="006E56C1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BILANS – AKTYWA</w:t>
            </w:r>
          </w:p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ahoma"/>
                <w:b/>
                <w:color w:val="auto"/>
                <w:kern w:val="1"/>
                <w:sz w:val="20"/>
                <w:szCs w:val="20"/>
                <w:lang w:bidi="ar-SA"/>
              </w:rPr>
              <w:t>Dla podmiotów prowadzących pełną księgowość</w:t>
            </w:r>
          </w:p>
        </w:tc>
      </w:tr>
    </w:tbl>
    <w:p w:rsidR="006E56C1" w:rsidRPr="006E56C1" w:rsidRDefault="006E56C1" w:rsidP="006E56C1">
      <w:pPr>
        <w:suppressAutoHyphens/>
        <w:snapToGrid w:val="0"/>
        <w:ind w:left="2265"/>
        <w:jc w:val="right"/>
        <w:rPr>
          <w:rFonts w:ascii="Times New Roman" w:eastAsia="Lucida Sans Unicode" w:hAnsi="Times New Roman" w:cs="Tahoma"/>
          <w:color w:val="auto"/>
          <w:kern w:val="1"/>
          <w:sz w:val="16"/>
          <w:szCs w:val="16"/>
          <w:lang w:bidi="ar-SA"/>
        </w:rPr>
      </w:pPr>
      <w:r w:rsidRPr="006E56C1">
        <w:rPr>
          <w:rFonts w:ascii="Times New Roman" w:eastAsia="Lucida Sans Unicode" w:hAnsi="Times New Roman" w:cs="Tahoma"/>
          <w:color w:val="auto"/>
          <w:kern w:val="1"/>
          <w:sz w:val="16"/>
          <w:szCs w:val="16"/>
          <w:lang w:bidi="ar-SA"/>
        </w:rPr>
        <w:t>(w tys. zł)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4"/>
        <w:gridCol w:w="8"/>
        <w:gridCol w:w="1317"/>
        <w:gridCol w:w="1276"/>
        <w:gridCol w:w="1276"/>
        <w:gridCol w:w="1275"/>
      </w:tblGrid>
      <w:tr w:rsidR="006E56C1" w:rsidRPr="006E56C1" w:rsidTr="00A60995">
        <w:trPr>
          <w:cantSplit/>
          <w:trHeight w:val="375"/>
        </w:trPr>
        <w:tc>
          <w:tcPr>
            <w:tcW w:w="5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56C1" w:rsidRPr="006E56C1" w:rsidRDefault="006E56C1" w:rsidP="006E56C1">
            <w:pPr>
              <w:keepNext/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bCs/>
                <w:i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bCs/>
                <w:i/>
                <w:color w:val="auto"/>
                <w:kern w:val="1"/>
                <w:sz w:val="20"/>
                <w:szCs w:val="20"/>
                <w:lang w:bidi="ar-SA"/>
              </w:rPr>
              <w:t>Analizowane okresy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6C1" w:rsidRPr="006E56C1" w:rsidRDefault="006E56C1" w:rsidP="006E56C1">
            <w:pPr>
              <w:suppressAutoHyphens/>
              <w:snapToGrid w:val="0"/>
              <w:spacing w:after="113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20"/>
                <w:szCs w:val="20"/>
                <w:lang w:bidi="ar-SA"/>
              </w:rPr>
              <w:t>Wykonanie na dzień:</w:t>
            </w:r>
            <w:r w:rsidRPr="006E56C1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20"/>
                <w:szCs w:val="20"/>
                <w:vertAlign w:val="superscript"/>
                <w:lang w:bidi="ar-SA"/>
              </w:rPr>
              <w:footnoteReference w:customMarkFollows="1" w:id="1"/>
              <w:t>*</w:t>
            </w:r>
          </w:p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31.12.2019.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20"/>
                <w:szCs w:val="20"/>
                <w:vertAlign w:val="superscript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20"/>
                <w:szCs w:val="20"/>
                <w:vertAlign w:val="superscript"/>
                <w:lang w:bidi="ar-SA"/>
              </w:rPr>
            </w:pPr>
          </w:p>
        </w:tc>
      </w:tr>
      <w:tr w:rsidR="006E56C1" w:rsidRPr="006E56C1" w:rsidTr="00A60995">
        <w:trPr>
          <w:cantSplit/>
          <w:trHeight w:val="345"/>
        </w:trPr>
        <w:tc>
          <w:tcPr>
            <w:tcW w:w="506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56C1" w:rsidRPr="006E56C1" w:rsidRDefault="006E56C1" w:rsidP="006E56C1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6C1" w:rsidRPr="006E56C1" w:rsidRDefault="006E56C1" w:rsidP="006E56C1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31.12.2020r.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31.12.2021r.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31.12.2022r.</w:t>
            </w: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A. Aktywa trwałe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6.930.430,76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9.131797,23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11.739.821,23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12.321.761,23</w:t>
            </w: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I. Wartości niematerialne i prawne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A60995">
        <w:trPr>
          <w:cantSplit/>
          <w:trHeight w:hRule="exact" w:val="261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164" w:hanging="164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</w:t>
            </w: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ab/>
              <w:t xml:space="preserve">Koszty zakończonych prac rozwojowych </w:t>
            </w:r>
          </w:p>
          <w:p w:rsidR="006E56C1" w:rsidRPr="006E56C1" w:rsidRDefault="006E56C1" w:rsidP="006E56C1">
            <w:pPr>
              <w:suppressAutoHyphens/>
              <w:ind w:left="164" w:hanging="164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  <w:p w:rsidR="006E56C1" w:rsidRPr="006E56C1" w:rsidRDefault="006E56C1" w:rsidP="006E56C1">
            <w:pPr>
              <w:suppressAutoHyphens/>
              <w:ind w:left="164" w:hanging="164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  <w:p w:rsidR="006E56C1" w:rsidRPr="006E56C1" w:rsidRDefault="006E56C1" w:rsidP="006E56C1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 Wartość firmy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3. Inne wartości niematerialne i prawne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4. Zaliczki na wartości niematerialne i prawne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II. Rzeczowe aktywa trwałe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6.926.400,26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9.127.947,23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11.730.890,00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12.311.700,00</w:t>
            </w:r>
          </w:p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0</w:t>
            </w: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 Środki trwałe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 xml:space="preserve">6.926.400,26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9.127.947,23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11.730.890,00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12.311.700,00</w:t>
            </w:r>
          </w:p>
        </w:tc>
      </w:tr>
      <w:tr w:rsidR="006E56C1" w:rsidRPr="006E56C1" w:rsidTr="00A60995">
        <w:trPr>
          <w:cantSplit/>
          <w:trHeight w:hRule="exact" w:val="324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keepNext/>
              <w:suppressAutoHyphens/>
              <w:snapToGrid w:val="0"/>
              <w:ind w:left="240"/>
              <w:rPr>
                <w:rFonts w:ascii="Times New Roman" w:eastAsia="Lucida Sans Unicode" w:hAnsi="Times New Roman" w:cs="Tahoma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ahoma"/>
                <w:color w:val="auto"/>
                <w:kern w:val="1"/>
                <w:sz w:val="20"/>
                <w:szCs w:val="20"/>
                <w:lang w:bidi="ar-SA"/>
              </w:rPr>
              <w:t>a) grunty (w tym prawo użytkowania wieczystego)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val="300"/>
        </w:trPr>
        <w:tc>
          <w:tcPr>
            <w:tcW w:w="5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4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b) budynki, lokale i obiekty inżynierii lądowej i wodnej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5.061.678,01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7.130.035,00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9.000.630,00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9.336.500,00</w:t>
            </w: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4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c) urządzenia techniczne i maszyny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256.261,17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300.000,00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450.000,00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500.000,00</w:t>
            </w: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4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d) środki transportu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101.258,40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90.260,00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80.260,00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75.200,00</w:t>
            </w: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4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e) inne środki trwałe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1.507.202,68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1.608.652,23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2.200.000,00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2.400.000,00</w:t>
            </w: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 Środki trwałe w budowie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3. Zaliczki na środki trwałe w budowie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III. Należności długoterminowe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 Od jednostek powiązanych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 Od pozostałych jednostek.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IV. Inwestycje długoterminowe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tabs>
                <w:tab w:val="center" w:pos="886"/>
                <w:tab w:val="right" w:pos="1772"/>
              </w:tabs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4.030,50</w:t>
            </w: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3.850,00</w:t>
            </w:r>
          </w:p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8.931,23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10.061,23</w:t>
            </w:r>
          </w:p>
        </w:tc>
      </w:tr>
      <w:tr w:rsidR="006E56C1" w:rsidRPr="006E56C1" w:rsidTr="00A60995">
        <w:tblPrEx>
          <w:tblCellMar>
            <w:left w:w="28" w:type="dxa"/>
            <w:right w:w="28" w:type="dxa"/>
          </w:tblCellMar>
        </w:tblPrEx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 Nieruchomości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28" w:type="dxa"/>
            <w:right w:w="28" w:type="dxa"/>
          </w:tblCellMar>
        </w:tblPrEx>
        <w:trPr>
          <w:cantSplit/>
          <w:trHeight w:hRule="exact" w:val="300"/>
        </w:trPr>
        <w:tc>
          <w:tcPr>
            <w:tcW w:w="5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 Wartości niematerialne i prawne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4.030,50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3.850,00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8.931,23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10.061,23</w:t>
            </w: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3. Długoterminowe aktywa finansowe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28" w:type="dxa"/>
            <w:right w:w="28" w:type="dxa"/>
          </w:tblCellMar>
        </w:tblPrEx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7" w:right="2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a) w jednostkach powiązanych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28" w:type="dxa"/>
            <w:right w:w="28" w:type="dxa"/>
          </w:tblCellMar>
        </w:tblPrEx>
        <w:trPr>
          <w:cantSplit/>
          <w:trHeight w:hRule="exact" w:val="300"/>
        </w:trPr>
        <w:tc>
          <w:tcPr>
            <w:tcW w:w="5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7" w:right="2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udziały lub akcje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28" w:type="dxa"/>
            <w:right w:w="28" w:type="dxa"/>
          </w:tblCellMar>
        </w:tblPrEx>
        <w:trPr>
          <w:cantSplit/>
          <w:trHeight w:hRule="exact" w:val="300"/>
        </w:trPr>
        <w:tc>
          <w:tcPr>
            <w:tcW w:w="5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7" w:right="2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inne papiery wartościowe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28" w:type="dxa"/>
            <w:right w:w="28" w:type="dxa"/>
          </w:tblCellMar>
        </w:tblPrEx>
        <w:trPr>
          <w:cantSplit/>
          <w:trHeight w:hRule="exact" w:val="300"/>
        </w:trPr>
        <w:tc>
          <w:tcPr>
            <w:tcW w:w="5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7" w:right="2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udzielone pożyczki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28" w:type="dxa"/>
            <w:right w:w="28" w:type="dxa"/>
          </w:tblCellMar>
        </w:tblPrEx>
        <w:trPr>
          <w:cantSplit/>
          <w:trHeight w:hRule="exact" w:val="300"/>
        </w:trPr>
        <w:tc>
          <w:tcPr>
            <w:tcW w:w="5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7" w:right="2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inne długoterminowe aktywa finansowe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4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b) w pozostałych jednostkach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udziały lub akcje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inne papiery wartościowe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udzielone pożyczki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inne długoterminowe aktywa finansowe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4. Inne inwestycje długoterminowe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V. Długoterminowe rozliczenie międzyokresowe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 Aktywa z tytułu odroczonego podatku dochodowego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 Inne rozliczenia międzyokresowe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5.200,00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4.800,00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5.320,00</w:t>
            </w: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lastRenderedPageBreak/>
              <w:t>B. Aktywa obrotowe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1.314.018,00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1.684.900,00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1.674.270,00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1.773.700,00</w:t>
            </w: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 xml:space="preserve">I. Zapasy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61.540,00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59.400,00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60.000,00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63.000,00</w:t>
            </w: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 Materiały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61.540,00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59.400,00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60.000,00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63.000,00</w:t>
            </w:r>
          </w:p>
        </w:tc>
      </w:tr>
      <w:tr w:rsidR="006E56C1" w:rsidRPr="006E56C1" w:rsidTr="00A60995">
        <w:trPr>
          <w:cantSplit/>
          <w:trHeight w:hRule="exact" w:val="283"/>
        </w:trPr>
        <w:tc>
          <w:tcPr>
            <w:tcW w:w="5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 Półprodukty i produkty w toku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3. Produkty gotowe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hRule="exact" w:val="300"/>
        </w:trPr>
        <w:tc>
          <w:tcPr>
            <w:tcW w:w="5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4. Towary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rPr>
          <w:cantSplit/>
          <w:trHeight w:hRule="exact" w:val="268"/>
        </w:trPr>
        <w:tc>
          <w:tcPr>
            <w:tcW w:w="5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5. Zaliczki na dostawy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II. Należności krótkoterminowe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623.000,00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950.000,00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975.670,00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980.500,00</w:t>
            </w: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 Należności od jednostek powiązanych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7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a) z tytułu dostaw i usług, o okresie spłaty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623.000,00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 xml:space="preserve">   950.000,00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 xml:space="preserve">     975.670,00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980.500,00</w:t>
            </w: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7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do 12 miesięcy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623.000,00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950.000,00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975.670,00</w:t>
            </w:r>
          </w:p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980.500,00</w:t>
            </w: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7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powyżej 12 miesięcy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4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b) inne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 Należności od pozostałych jednostek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a) z tytułu dostaw i usług, o okresie spłaty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do 12 miesięcy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powyżej 12 miesięcy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453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 xml:space="preserve">b) z tytułu podatków, dotacji, ceł, ubezpieczeń </w:t>
            </w:r>
          </w:p>
          <w:p w:rsidR="006E56C1" w:rsidRPr="006E56C1" w:rsidRDefault="006E56C1" w:rsidP="006E56C1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 xml:space="preserve">    społecznych i zdrowotnych oraz innych świadczeń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c) inne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d) dochodzone na drodze sądowej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hd w:val="clear" w:color="auto" w:fill="CCCCCC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III. Inwestycje krótkoterminowe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586.592,00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630.000,00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650.000,00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680.000,00</w:t>
            </w: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 Krótkoterminowe aktywa finansowe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a) w jednostkach powiązanych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udziały lub akcje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inne papiery wartościowe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udzielone pożyczki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inne krótkoterminowe aktywa finansowe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b) w pozostałych jednostkach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udziały lub akcje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inne papiery wartościowe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udzielone pożyczki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inne krótkoterminowe aktywa finansowe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19"/>
        </w:trPr>
        <w:tc>
          <w:tcPr>
            <w:tcW w:w="5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c) środki pieniężne i inne aktywa pieniężne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586.592,00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630.000,00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650.000,00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680.000,00</w:t>
            </w: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środki pieniężne w kasie i na rachunkach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586.592,00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630.000,00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650.000,00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680.000,00</w:t>
            </w: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inne środki pieniężne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inne aktywa pieniężne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 xml:space="preserve">2. Inne inwestycje krótkoterminowe 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56"/>
        </w:trPr>
        <w:tc>
          <w:tcPr>
            <w:tcW w:w="5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IV. Krótkoterminowe rozliczenia międzyokresowe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 xml:space="preserve">          42.886,00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45.500,00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 xml:space="preserve">48.600,00 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50.200,00</w:t>
            </w:r>
          </w:p>
        </w:tc>
      </w:tr>
      <w:tr w:rsidR="006E56C1" w:rsidRPr="006E56C1" w:rsidTr="00A60995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Aktywa razem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8.244.448,76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10.816.697,23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13.414.091,23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14.095.461,230</w:t>
            </w:r>
          </w:p>
        </w:tc>
      </w:tr>
    </w:tbl>
    <w:p w:rsidR="006E56C1" w:rsidRPr="006E56C1" w:rsidRDefault="006E56C1" w:rsidP="006E56C1">
      <w:pPr>
        <w:tabs>
          <w:tab w:val="left" w:pos="6600"/>
        </w:tabs>
        <w:suppressAutoHyphens/>
        <w:snapToGrid w:val="0"/>
        <w:ind w:left="2265"/>
        <w:jc w:val="right"/>
        <w:rPr>
          <w:rFonts w:ascii="Times New Roman" w:eastAsia="Lucida Sans Unicode" w:hAnsi="Times New Roman" w:cs="Tahoma"/>
          <w:color w:val="auto"/>
          <w:kern w:val="1"/>
          <w:sz w:val="16"/>
          <w:szCs w:val="16"/>
          <w:lang w:bidi="ar-SA"/>
        </w:rPr>
      </w:pPr>
    </w:p>
    <w:p w:rsidR="006E56C1" w:rsidRPr="006E56C1" w:rsidRDefault="006E56C1" w:rsidP="006E56C1">
      <w:pPr>
        <w:tabs>
          <w:tab w:val="left" w:pos="6600"/>
        </w:tabs>
        <w:suppressAutoHyphens/>
        <w:snapToGrid w:val="0"/>
        <w:ind w:left="2265"/>
        <w:jc w:val="right"/>
        <w:rPr>
          <w:rFonts w:ascii="Times New Roman" w:eastAsia="Lucida Sans Unicode" w:hAnsi="Times New Roman" w:cs="Tahoma"/>
          <w:color w:val="auto"/>
          <w:kern w:val="1"/>
          <w:sz w:val="16"/>
          <w:szCs w:val="16"/>
          <w:lang w:bidi="ar-SA"/>
        </w:rPr>
      </w:pPr>
    </w:p>
    <w:p w:rsidR="006E56C1" w:rsidRPr="006E56C1" w:rsidRDefault="006E56C1" w:rsidP="006E56C1">
      <w:pPr>
        <w:suppressAutoHyphens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</w:p>
    <w:p w:rsidR="006E56C1" w:rsidRPr="006E56C1" w:rsidRDefault="006E56C1" w:rsidP="006E56C1">
      <w:pPr>
        <w:suppressAutoHyphens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</w:p>
    <w:p w:rsidR="006E56C1" w:rsidRPr="006E56C1" w:rsidRDefault="006E56C1" w:rsidP="006E56C1">
      <w:pPr>
        <w:suppressAutoHyphens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71"/>
        <w:gridCol w:w="6551"/>
      </w:tblGrid>
      <w:tr w:rsidR="006E56C1" w:rsidRPr="006E56C1" w:rsidTr="007C0290">
        <w:trPr>
          <w:trHeight w:val="853"/>
        </w:trPr>
        <w:tc>
          <w:tcPr>
            <w:tcW w:w="2371" w:type="dxa"/>
            <w:shd w:val="clear" w:color="auto" w:fill="auto"/>
          </w:tcPr>
          <w:p w:rsidR="006E56C1" w:rsidRPr="006E56C1" w:rsidRDefault="006E56C1" w:rsidP="006E56C1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16"/>
                <w:szCs w:val="16"/>
                <w:lang w:bidi="ar-SA"/>
              </w:rPr>
            </w:pPr>
          </w:p>
        </w:tc>
        <w:tc>
          <w:tcPr>
            <w:tcW w:w="6551" w:type="dxa"/>
            <w:shd w:val="clear" w:color="auto" w:fill="auto"/>
          </w:tcPr>
          <w:p w:rsidR="006E56C1" w:rsidRPr="006E56C1" w:rsidRDefault="006E56C1" w:rsidP="006E56C1">
            <w:pPr>
              <w:keepNext/>
              <w:suppressAutoHyphens/>
              <w:jc w:val="right"/>
              <w:outlineLvl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16"/>
                <w:szCs w:val="16"/>
                <w:lang w:bidi="ar-SA"/>
              </w:rPr>
            </w:pPr>
          </w:p>
        </w:tc>
      </w:tr>
      <w:tr w:rsidR="006E56C1" w:rsidRPr="006E56C1" w:rsidTr="007C0290">
        <w:trPr>
          <w:trHeight w:val="499"/>
        </w:trPr>
        <w:tc>
          <w:tcPr>
            <w:tcW w:w="2371" w:type="dxa"/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6551" w:type="dxa"/>
            <w:shd w:val="clear" w:color="auto" w:fill="auto"/>
          </w:tcPr>
          <w:p w:rsidR="006E56C1" w:rsidRPr="006E56C1" w:rsidRDefault="006E56C1" w:rsidP="006E56C1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BILANS – PASYWA</w:t>
            </w:r>
          </w:p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ahoma"/>
                <w:b/>
                <w:color w:val="auto"/>
                <w:kern w:val="1"/>
                <w:sz w:val="20"/>
                <w:szCs w:val="20"/>
                <w:lang w:bidi="ar-SA"/>
              </w:rPr>
              <w:t>Dla podmiotów prowadzących pełną księgowość</w:t>
            </w:r>
          </w:p>
        </w:tc>
      </w:tr>
    </w:tbl>
    <w:p w:rsidR="006E56C1" w:rsidRPr="006E56C1" w:rsidRDefault="006E56C1" w:rsidP="006E56C1">
      <w:pPr>
        <w:suppressAutoHyphens/>
        <w:snapToGrid w:val="0"/>
        <w:ind w:left="2265"/>
        <w:jc w:val="right"/>
        <w:rPr>
          <w:rFonts w:ascii="Times New Roman" w:eastAsia="Lucida Sans Unicode" w:hAnsi="Times New Roman" w:cs="Times New Roman"/>
          <w:color w:val="auto"/>
          <w:kern w:val="1"/>
          <w:sz w:val="16"/>
          <w:szCs w:val="16"/>
          <w:lang w:bidi="ar-SA"/>
        </w:rPr>
      </w:pPr>
      <w:r w:rsidRPr="006E56C1">
        <w:rPr>
          <w:rFonts w:ascii="Times New Roman" w:eastAsia="Lucida Sans Unicode" w:hAnsi="Times New Roman" w:cs="Times New Roman"/>
          <w:color w:val="auto"/>
          <w:kern w:val="1"/>
          <w:sz w:val="16"/>
          <w:szCs w:val="16"/>
          <w:lang w:bidi="ar-SA"/>
        </w:rPr>
        <w:t xml:space="preserve"> (w tys. zł)</w:t>
      </w:r>
    </w:p>
    <w:tbl>
      <w:tblPr>
        <w:tblW w:w="963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5"/>
        <w:gridCol w:w="1226"/>
        <w:gridCol w:w="1321"/>
        <w:gridCol w:w="1187"/>
        <w:gridCol w:w="1187"/>
      </w:tblGrid>
      <w:tr w:rsidR="006E56C1" w:rsidRPr="006E56C1" w:rsidTr="006E56C1">
        <w:trPr>
          <w:cantSplit/>
          <w:trHeight w:val="328"/>
        </w:trPr>
        <w:tc>
          <w:tcPr>
            <w:tcW w:w="4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56C1" w:rsidRPr="006E56C1" w:rsidRDefault="006E56C1" w:rsidP="006E56C1">
            <w:pPr>
              <w:keepNext/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bCs/>
                <w:i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bCs/>
                <w:i/>
                <w:color w:val="auto"/>
                <w:kern w:val="1"/>
                <w:sz w:val="20"/>
                <w:szCs w:val="20"/>
                <w:lang w:bidi="ar-SA"/>
              </w:rPr>
              <w:t>Analizowane okresy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6C1" w:rsidRPr="006E56C1" w:rsidRDefault="006E56C1" w:rsidP="006E56C1">
            <w:pPr>
              <w:suppressAutoHyphens/>
              <w:snapToGrid w:val="0"/>
              <w:spacing w:after="113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20"/>
                <w:szCs w:val="20"/>
                <w:lang w:bidi="ar-SA"/>
              </w:rPr>
              <w:t>Wykonanie na dzień:</w:t>
            </w:r>
            <w:r w:rsidRPr="006E56C1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20"/>
                <w:szCs w:val="20"/>
                <w:vertAlign w:val="superscript"/>
                <w:lang w:bidi="ar-SA"/>
              </w:rPr>
              <w:footnoteReference w:customMarkFollows="1" w:id="2"/>
              <w:t>*</w:t>
            </w:r>
          </w:p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31.12.2019r.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20"/>
                <w:szCs w:val="20"/>
                <w:vertAlign w:val="superscript"/>
                <w:lang w:bidi="ar-S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20"/>
                <w:szCs w:val="20"/>
                <w:vertAlign w:val="superscript"/>
                <w:lang w:bidi="ar-SA"/>
              </w:rPr>
            </w:pPr>
          </w:p>
        </w:tc>
      </w:tr>
      <w:tr w:rsidR="006E56C1" w:rsidRPr="006E56C1" w:rsidTr="006E56C1">
        <w:trPr>
          <w:cantSplit/>
          <w:trHeight w:val="403"/>
        </w:trPr>
        <w:tc>
          <w:tcPr>
            <w:tcW w:w="47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56C1" w:rsidRPr="006E56C1" w:rsidRDefault="006E56C1" w:rsidP="006E56C1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6C1" w:rsidRPr="006E56C1" w:rsidRDefault="006E56C1" w:rsidP="006E56C1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31.12.2020r.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31.12.2021r.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31.12.2022</w:t>
            </w: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A. Kapitał (fundusz) własny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- 2.488.565,11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-812.152,77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448.361,23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972.361,23</w:t>
            </w:r>
          </w:p>
        </w:tc>
      </w:tr>
      <w:tr w:rsidR="006E56C1" w:rsidRPr="006E56C1" w:rsidTr="006E56C1">
        <w:trPr>
          <w:cantSplit/>
          <w:trHeight w:val="252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 xml:space="preserve">I. Kapitał (fundusz) podstawowy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- 490 425,97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- 490 425,97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-490.425,97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-490.425,97</w:t>
            </w:r>
          </w:p>
        </w:tc>
      </w:tr>
      <w:tr w:rsidR="006E56C1" w:rsidRPr="006E56C1" w:rsidTr="006E56C1">
        <w:trPr>
          <w:cantSplit/>
          <w:trHeight w:val="23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II. Należne wpłaty na kapitał podstawowy (-)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6E56C1">
        <w:trPr>
          <w:cantSplit/>
          <w:trHeight w:val="23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III. Udziały (akcje) własne (-)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6E56C1">
        <w:trPr>
          <w:cantSplit/>
          <w:trHeight w:val="23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IV. Kapitał (fundusz) zapasowy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1.146.044,83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1.146.044.,83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1.146.044,83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1146.044,83</w:t>
            </w:r>
          </w:p>
        </w:tc>
      </w:tr>
      <w:tr w:rsidR="006E56C1" w:rsidRPr="006E56C1" w:rsidTr="006E56C1">
        <w:trPr>
          <w:cantSplit/>
          <w:trHeight w:val="23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V. Kapitał (fundusz) z aktualizacji wyceny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6E56C1">
        <w:trPr>
          <w:cantSplit/>
          <w:trHeight w:val="23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VI. Pozostałe kapitały (fundusze rezerwowe)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6E56C1">
        <w:trPr>
          <w:cantSplit/>
          <w:trHeight w:val="23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 xml:space="preserve">VII. Zysk (strata) netto z lat ubiegłych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- 2 129 408,97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-1.992.033,63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-1.467.767,63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1.260.510,00</w:t>
            </w:r>
          </w:p>
        </w:tc>
      </w:tr>
      <w:tr w:rsidR="006E56C1" w:rsidRPr="006E56C1" w:rsidTr="006E56C1">
        <w:trPr>
          <w:cantSplit/>
          <w:trHeight w:val="23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VIII. Zysk (strata) netto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-977.257,64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524.266,00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1.260.510,00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524.000,00</w:t>
            </w:r>
          </w:p>
        </w:tc>
      </w:tr>
      <w:tr w:rsidR="006E56C1" w:rsidRPr="006E56C1" w:rsidTr="006E56C1">
        <w:trPr>
          <w:cantSplit/>
          <w:trHeight w:val="23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keepNext/>
              <w:suppressAutoHyphens/>
              <w:snapToGrid w:val="0"/>
              <w:rPr>
                <w:rFonts w:ascii="Times New Roman" w:eastAsia="Lucida Sans Unicode" w:hAnsi="Times New Roman" w:cs="Tahoma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ahoma"/>
                <w:b/>
                <w:color w:val="auto"/>
                <w:kern w:val="1"/>
                <w:sz w:val="20"/>
                <w:szCs w:val="20"/>
                <w:lang w:bidi="ar-SA"/>
              </w:rPr>
              <w:t>IX. Odpisy z zysku netto w ciągu roku obrotowego (-)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6E56C1">
        <w:trPr>
          <w:cantSplit/>
          <w:trHeight w:val="23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B. Zobowiązania i rezerwy na zobowiązania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3.674.659,65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3.275.000,00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4.465.730,00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4.223.100,00</w:t>
            </w:r>
          </w:p>
        </w:tc>
      </w:tr>
      <w:tr w:rsidR="006E56C1" w:rsidRPr="006E56C1" w:rsidTr="006E56C1">
        <w:trPr>
          <w:cantSplit/>
          <w:trHeight w:val="238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I. Rezerwa na zobowiązania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135.800,00,00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175.000,00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205.730,00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185.000,00</w:t>
            </w:r>
          </w:p>
        </w:tc>
      </w:tr>
      <w:tr w:rsidR="006E56C1" w:rsidRPr="006E56C1" w:rsidTr="006E56C1">
        <w:trPr>
          <w:cantSplit/>
          <w:trHeight w:val="23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 Rezerwa z tytułu odroczonego podatku dochodowego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6E56C1">
        <w:trPr>
          <w:cantSplit/>
          <w:trHeight w:val="23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 Rezerwa na świadczenia emerytalne i podobne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135.800,00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175.000,00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205.730,00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188.050,00</w:t>
            </w:r>
          </w:p>
        </w:tc>
      </w:tr>
      <w:tr w:rsidR="006E56C1" w:rsidRPr="006E56C1" w:rsidTr="006E56C1">
        <w:trPr>
          <w:cantSplit/>
          <w:trHeight w:val="23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3. Pozostałe rezerwy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II. Zobowiązania długoterminowe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6E56C1">
        <w:trPr>
          <w:cantSplit/>
          <w:trHeight w:val="252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02" w:hanging="202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 xml:space="preserve">1. Wobec jednostek powiązanych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6E56C1">
        <w:trPr>
          <w:cantSplit/>
          <w:trHeight w:val="23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 xml:space="preserve">2. Wobec pozostałych jednostek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keepNext/>
              <w:suppressAutoHyphens/>
              <w:snapToGrid w:val="0"/>
              <w:ind w:left="255"/>
              <w:rPr>
                <w:rFonts w:ascii="Times New Roman" w:eastAsia="Lucida Sans Unicode" w:hAnsi="Times New Roman" w:cs="Tahoma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ahoma"/>
                <w:color w:val="auto"/>
                <w:kern w:val="1"/>
                <w:sz w:val="20"/>
                <w:szCs w:val="20"/>
                <w:lang w:bidi="ar-SA"/>
              </w:rPr>
              <w:t>a) kredyty i pożyczki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b) z tytułu emisji dłużnych papierów wartościowych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c) inne zobowiązania finansowe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d) inne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III. Zobowiązania krótkoterminowe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3.538.859,65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3.100.000,00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4.244.830,00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4.035.050,00</w:t>
            </w: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 xml:space="preserve">1. Wobec jednostek powiązanych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a) z tytułu dostaw i usług, o okresie wymagalności: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do 12 miesięcy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powyżej 12 miesięcy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b) inne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keepNext/>
              <w:suppressAutoHyphens/>
              <w:snapToGrid w:val="0"/>
              <w:rPr>
                <w:rFonts w:ascii="Times New Roman" w:eastAsia="Lucida Sans Unicode" w:hAnsi="Times New Roman" w:cs="Tahoma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ahoma"/>
                <w:color w:val="auto"/>
                <w:kern w:val="1"/>
                <w:sz w:val="20"/>
                <w:szCs w:val="20"/>
                <w:lang w:bidi="ar-SA"/>
              </w:rPr>
              <w:t>2. Wobec pozostałych jednostek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3.476.223,00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3.037.363,35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4.179.830,00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4.035.050,00</w:t>
            </w: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7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a) kredyty i pożyczki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7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b) z tytułu emisji dłużnych papierów wartościowych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7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c) inne zobowiązania finansowe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7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d) z tytułu dostaw i usług, o okresie wymagalności: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1.928.800,00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1.402.363,35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2.280.000,00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1.900.050,00</w:t>
            </w: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7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do 12 miesięcy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1.928.800,00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1.402.363,35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2.280.000,00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1.900,050,00</w:t>
            </w: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7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-powyżej 12 miesięcy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7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e) zaliczki na otrzymane dostawy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7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f) zobowiązania wekslowe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7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 xml:space="preserve">g) z tytułu podatków, ceł, ubezpieczeń i innych </w:t>
            </w:r>
          </w:p>
          <w:p w:rsidR="006E56C1" w:rsidRPr="006E56C1" w:rsidRDefault="006E56C1" w:rsidP="006E56C1">
            <w:pPr>
              <w:suppressAutoHyphens/>
              <w:ind w:left="27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 xml:space="preserve">    świadczeń 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824.450,00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850.000,00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1.000.000,00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1.200.000,00</w:t>
            </w: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7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h) z tytułu wynagrodzeń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701.523,00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750.000,00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850.000,00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880.000,00</w:t>
            </w: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7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i) inne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21.523,00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35.000,00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49.830,00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55.000,00</w:t>
            </w: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lastRenderedPageBreak/>
              <w:t>3. Fundusze specjalne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62.636,65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62.636,65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65.000,00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60.000,00</w:t>
            </w: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C. Rozliczenia międzyokresowe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7.085.485,64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7 .100.000,00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8.500.000,00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8.900.000,00</w:t>
            </w: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1. Ujemna wartość firmy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6E56C1">
        <w:trPr>
          <w:cantSplit/>
          <w:trHeight w:val="26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2. Inne rozliczenia międzyokresowe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7.085.484,64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7.100.000,00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8.500.000,00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8.900,000,00</w:t>
            </w: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długoterminowe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7.085485,64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7.100.000,00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8.500.000,00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8.900.000,00</w:t>
            </w: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ind w:left="255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 krótkoterminowe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6E56C1" w:rsidRPr="006E56C1" w:rsidTr="006E56C1">
        <w:trPr>
          <w:cantSplit/>
          <w:trHeight w:val="26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0"/>
                <w:szCs w:val="20"/>
                <w:lang w:bidi="ar-SA"/>
              </w:rPr>
              <w:t>Pasywa razem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8.244.448,76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10.812.847,23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13.414.091,23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6C1" w:rsidRPr="006E56C1" w:rsidRDefault="006E56C1" w:rsidP="006E56C1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</w:pPr>
            <w:r w:rsidRPr="006E56C1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bidi="ar-SA"/>
              </w:rPr>
              <w:t>14.095.461,23</w:t>
            </w:r>
          </w:p>
        </w:tc>
      </w:tr>
    </w:tbl>
    <w:p w:rsidR="006E56C1" w:rsidRPr="006E56C1" w:rsidRDefault="006E56C1" w:rsidP="006E56C1">
      <w:pPr>
        <w:suppressAutoHyphens/>
        <w:spacing w:line="36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bidi="ar-SA"/>
        </w:rPr>
      </w:pPr>
    </w:p>
    <w:p w:rsidR="006E56C1" w:rsidRPr="006E56C1" w:rsidRDefault="006E56C1" w:rsidP="006E56C1">
      <w:pPr>
        <w:suppressAutoHyphens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</w:p>
    <w:p w:rsidR="00D11FBA" w:rsidRPr="00A03FFC" w:rsidRDefault="00D11FBA">
      <w:pPr>
        <w:pStyle w:val="Teksttreci0"/>
        <w:shd w:val="clear" w:color="auto" w:fill="auto"/>
        <w:jc w:val="both"/>
        <w:rPr>
          <w:sz w:val="28"/>
          <w:szCs w:val="28"/>
        </w:rPr>
      </w:pPr>
      <w:r>
        <w:rPr>
          <w:color w:val="393939"/>
          <w:sz w:val="28"/>
          <w:szCs w:val="28"/>
        </w:rPr>
        <w:t xml:space="preserve">        </w:t>
      </w:r>
      <w:r w:rsidR="006936F7" w:rsidRPr="00A03FFC">
        <w:rPr>
          <w:color w:val="393939"/>
          <w:sz w:val="28"/>
          <w:szCs w:val="28"/>
        </w:rPr>
        <w:t>Przyjęte założenia do prognozy sytuacji ekonomiczno-finansowej na lata obrotowe 201</w:t>
      </w:r>
      <w:r w:rsidR="009E66C1" w:rsidRPr="00A03FFC">
        <w:rPr>
          <w:color w:val="393939"/>
          <w:sz w:val="28"/>
          <w:szCs w:val="28"/>
        </w:rPr>
        <w:t>9</w:t>
      </w:r>
      <w:r w:rsidR="006936F7" w:rsidRPr="00A03FFC">
        <w:rPr>
          <w:color w:val="393939"/>
          <w:sz w:val="28"/>
          <w:szCs w:val="28"/>
        </w:rPr>
        <w:t xml:space="preserve"> -20</w:t>
      </w:r>
      <w:r w:rsidR="009E66C1" w:rsidRPr="00A03FFC">
        <w:rPr>
          <w:color w:val="393939"/>
          <w:sz w:val="28"/>
          <w:szCs w:val="28"/>
        </w:rPr>
        <w:t>2</w:t>
      </w:r>
      <w:r w:rsidR="007C0290">
        <w:rPr>
          <w:color w:val="393939"/>
          <w:sz w:val="28"/>
          <w:szCs w:val="28"/>
        </w:rPr>
        <w:t>2</w:t>
      </w:r>
      <w:r w:rsidR="006936F7" w:rsidRPr="00A03FFC">
        <w:rPr>
          <w:color w:val="393939"/>
          <w:sz w:val="28"/>
          <w:szCs w:val="28"/>
        </w:rPr>
        <w:t>:</w:t>
      </w:r>
    </w:p>
    <w:p w:rsidR="00DD71FF" w:rsidRPr="00A03FFC" w:rsidRDefault="006936F7">
      <w:pPr>
        <w:pStyle w:val="Teksttreci0"/>
        <w:numPr>
          <w:ilvl w:val="0"/>
          <w:numId w:val="6"/>
        </w:numPr>
        <w:shd w:val="clear" w:color="auto" w:fill="auto"/>
        <w:tabs>
          <w:tab w:val="left" w:pos="403"/>
        </w:tabs>
        <w:spacing w:line="386" w:lineRule="auto"/>
        <w:ind w:left="460" w:hanging="460"/>
        <w:jc w:val="both"/>
        <w:rPr>
          <w:sz w:val="28"/>
          <w:szCs w:val="28"/>
        </w:rPr>
      </w:pPr>
      <w:r w:rsidRPr="00A03FFC">
        <w:rPr>
          <w:color w:val="393939"/>
          <w:sz w:val="28"/>
          <w:szCs w:val="28"/>
        </w:rPr>
        <w:t xml:space="preserve">Kontynuowanie działalności przy utrzymaniu dotychczasowego profilu działalności i obecnej struktury </w:t>
      </w:r>
      <w:r w:rsidR="009E66C1" w:rsidRPr="00A03FFC">
        <w:rPr>
          <w:color w:val="393939"/>
          <w:sz w:val="28"/>
          <w:szCs w:val="28"/>
        </w:rPr>
        <w:t>Szpitala.</w:t>
      </w:r>
    </w:p>
    <w:p w:rsidR="00DD71FF" w:rsidRPr="00A03FFC" w:rsidRDefault="006936F7">
      <w:pPr>
        <w:pStyle w:val="Teksttreci0"/>
        <w:numPr>
          <w:ilvl w:val="0"/>
          <w:numId w:val="6"/>
        </w:numPr>
        <w:shd w:val="clear" w:color="auto" w:fill="auto"/>
        <w:tabs>
          <w:tab w:val="left" w:pos="403"/>
        </w:tabs>
        <w:spacing w:line="374" w:lineRule="auto"/>
        <w:ind w:left="460" w:hanging="460"/>
        <w:jc w:val="both"/>
        <w:rPr>
          <w:sz w:val="28"/>
          <w:szCs w:val="28"/>
        </w:rPr>
      </w:pPr>
      <w:r w:rsidRPr="00A03FFC">
        <w:rPr>
          <w:color w:val="393939"/>
          <w:sz w:val="28"/>
          <w:szCs w:val="28"/>
        </w:rPr>
        <w:t>Zwiększenie wpływów od płatnika systemowego (obecnie Podlaski Oddział Wojewódzki NFZ) za</w:t>
      </w:r>
      <w:r w:rsidR="00086450" w:rsidRPr="00A03FFC">
        <w:rPr>
          <w:color w:val="393939"/>
          <w:sz w:val="28"/>
          <w:szCs w:val="28"/>
        </w:rPr>
        <w:t xml:space="preserve"> </w:t>
      </w:r>
      <w:r w:rsidRPr="00A03FFC">
        <w:rPr>
          <w:color w:val="393939"/>
          <w:sz w:val="28"/>
          <w:szCs w:val="28"/>
        </w:rPr>
        <w:t>wykonane świadczenia zdrowotne w kolejnych latach: w II półroczu roku -201</w:t>
      </w:r>
      <w:r w:rsidR="009E66C1" w:rsidRPr="00A03FFC">
        <w:rPr>
          <w:color w:val="393939"/>
          <w:sz w:val="28"/>
          <w:szCs w:val="28"/>
        </w:rPr>
        <w:t>9</w:t>
      </w:r>
      <w:r w:rsidRPr="00A03FFC">
        <w:rPr>
          <w:color w:val="393939"/>
          <w:sz w:val="28"/>
          <w:szCs w:val="28"/>
        </w:rPr>
        <w:t xml:space="preserve"> </w:t>
      </w:r>
      <w:r w:rsidR="005B3B22" w:rsidRPr="00A03FFC">
        <w:rPr>
          <w:color w:val="393939"/>
          <w:sz w:val="28"/>
          <w:szCs w:val="28"/>
        </w:rPr>
        <w:t xml:space="preserve">o </w:t>
      </w:r>
      <w:r w:rsidR="009E66C1" w:rsidRPr="00A03FFC">
        <w:rPr>
          <w:color w:val="393939"/>
          <w:sz w:val="28"/>
          <w:szCs w:val="28"/>
        </w:rPr>
        <w:t>6</w:t>
      </w:r>
      <w:r w:rsidRPr="00A03FFC">
        <w:rPr>
          <w:color w:val="393939"/>
          <w:sz w:val="28"/>
          <w:szCs w:val="28"/>
        </w:rPr>
        <w:t xml:space="preserve">00.000,00 zł w stosunku do przychodów planowanych (wzrost- przychodów ogółem w roku o </w:t>
      </w:r>
      <w:r w:rsidR="009E66C1" w:rsidRPr="00A03FFC">
        <w:rPr>
          <w:color w:val="393939"/>
          <w:sz w:val="28"/>
          <w:szCs w:val="28"/>
        </w:rPr>
        <w:t>6</w:t>
      </w:r>
      <w:r w:rsidRPr="00A03FFC">
        <w:rPr>
          <w:color w:val="393939"/>
          <w:sz w:val="28"/>
          <w:szCs w:val="28"/>
        </w:rPr>
        <w:t>% w stosunku do przychodów roku 201</w:t>
      </w:r>
      <w:r w:rsidR="007C0290">
        <w:rPr>
          <w:color w:val="393939"/>
          <w:sz w:val="28"/>
          <w:szCs w:val="28"/>
        </w:rPr>
        <w:t>9</w:t>
      </w:r>
      <w:r w:rsidRPr="00A03FFC">
        <w:rPr>
          <w:color w:val="393939"/>
          <w:sz w:val="28"/>
          <w:szCs w:val="28"/>
        </w:rPr>
        <w:t>). W roku 201</w:t>
      </w:r>
      <w:r w:rsidR="009E66C1" w:rsidRPr="00A03FFC">
        <w:rPr>
          <w:color w:val="393939"/>
          <w:sz w:val="28"/>
          <w:szCs w:val="28"/>
        </w:rPr>
        <w:t>9</w:t>
      </w:r>
      <w:r w:rsidRPr="00A03FFC">
        <w:rPr>
          <w:color w:val="393939"/>
          <w:sz w:val="28"/>
          <w:szCs w:val="28"/>
        </w:rPr>
        <w:t xml:space="preserve"> i w roku 20</w:t>
      </w:r>
      <w:r w:rsidR="009E66C1" w:rsidRPr="00A03FFC">
        <w:rPr>
          <w:color w:val="393939"/>
          <w:sz w:val="28"/>
          <w:szCs w:val="28"/>
        </w:rPr>
        <w:t>20</w:t>
      </w:r>
      <w:r w:rsidRPr="00A03FFC">
        <w:rPr>
          <w:color w:val="393939"/>
          <w:sz w:val="28"/>
          <w:szCs w:val="28"/>
        </w:rPr>
        <w:t xml:space="preserve"> przyjęto planowany przychód za wykonane świadczenia zdrowotne o </w:t>
      </w:r>
      <w:r w:rsidR="009E66C1" w:rsidRPr="00A03FFC">
        <w:rPr>
          <w:color w:val="393939"/>
          <w:sz w:val="28"/>
          <w:szCs w:val="28"/>
        </w:rPr>
        <w:t>12</w:t>
      </w:r>
      <w:r w:rsidRPr="00A03FFC">
        <w:rPr>
          <w:color w:val="393939"/>
          <w:sz w:val="28"/>
          <w:szCs w:val="28"/>
        </w:rPr>
        <w:t>% wyższy niż przychód</w:t>
      </w:r>
      <w:r w:rsidRPr="00D45950">
        <w:rPr>
          <w:color w:val="393939"/>
          <w:sz w:val="24"/>
          <w:szCs w:val="24"/>
        </w:rPr>
        <w:t xml:space="preserve"> </w:t>
      </w:r>
      <w:r w:rsidRPr="00A03FFC">
        <w:rPr>
          <w:color w:val="393939"/>
          <w:sz w:val="28"/>
          <w:szCs w:val="28"/>
        </w:rPr>
        <w:t>roku 201</w:t>
      </w:r>
      <w:r w:rsidR="009E66C1" w:rsidRPr="00A03FFC">
        <w:rPr>
          <w:color w:val="393939"/>
          <w:sz w:val="28"/>
          <w:szCs w:val="28"/>
        </w:rPr>
        <w:t>8</w:t>
      </w:r>
      <w:r w:rsidRPr="00A03FFC">
        <w:rPr>
          <w:color w:val="393939"/>
          <w:sz w:val="28"/>
          <w:szCs w:val="28"/>
        </w:rPr>
        <w:t>.</w:t>
      </w:r>
    </w:p>
    <w:p w:rsidR="00DD71FF" w:rsidRPr="00A03FFC" w:rsidRDefault="006936F7">
      <w:pPr>
        <w:pStyle w:val="Teksttreci0"/>
        <w:numPr>
          <w:ilvl w:val="0"/>
          <w:numId w:val="6"/>
        </w:numPr>
        <w:shd w:val="clear" w:color="auto" w:fill="auto"/>
        <w:tabs>
          <w:tab w:val="left" w:pos="403"/>
        </w:tabs>
        <w:ind w:left="460" w:hanging="460"/>
        <w:jc w:val="both"/>
        <w:rPr>
          <w:sz w:val="28"/>
          <w:szCs w:val="28"/>
        </w:rPr>
      </w:pPr>
      <w:r w:rsidRPr="00A03FFC">
        <w:rPr>
          <w:color w:val="393939"/>
          <w:sz w:val="28"/>
          <w:szCs w:val="28"/>
        </w:rPr>
        <w:t>Obniżenie kosztów działalności: koszty w roku 201</w:t>
      </w:r>
      <w:r w:rsidR="009E66C1" w:rsidRPr="00A03FFC">
        <w:rPr>
          <w:color w:val="393939"/>
          <w:sz w:val="28"/>
          <w:szCs w:val="28"/>
        </w:rPr>
        <w:t>9</w:t>
      </w:r>
      <w:r w:rsidRPr="00A03FFC">
        <w:rPr>
          <w:color w:val="393939"/>
          <w:sz w:val="28"/>
          <w:szCs w:val="28"/>
        </w:rPr>
        <w:t xml:space="preserve"> stanowią 1</w:t>
      </w:r>
      <w:r w:rsidR="009E66C1" w:rsidRPr="00A03FFC">
        <w:rPr>
          <w:color w:val="393939"/>
          <w:sz w:val="28"/>
          <w:szCs w:val="28"/>
        </w:rPr>
        <w:t>11</w:t>
      </w:r>
      <w:r w:rsidRPr="00A03FFC">
        <w:rPr>
          <w:color w:val="393939"/>
          <w:sz w:val="28"/>
          <w:szCs w:val="28"/>
        </w:rPr>
        <w:t>% kosztów poniesionych w roku 201</w:t>
      </w:r>
      <w:r w:rsidR="009E66C1" w:rsidRPr="00A03FFC">
        <w:rPr>
          <w:color w:val="393939"/>
          <w:sz w:val="28"/>
          <w:szCs w:val="28"/>
        </w:rPr>
        <w:t>8</w:t>
      </w:r>
      <w:r w:rsidRPr="00A03FFC">
        <w:rPr>
          <w:color w:val="393939"/>
          <w:sz w:val="28"/>
          <w:szCs w:val="28"/>
        </w:rPr>
        <w:t xml:space="preserve"> (wzrost kosztów dotyczących wynagrodzeń</w:t>
      </w:r>
      <w:r w:rsidR="009E66C1" w:rsidRPr="00A03FFC">
        <w:rPr>
          <w:color w:val="393939"/>
          <w:sz w:val="28"/>
          <w:szCs w:val="28"/>
        </w:rPr>
        <w:t>, leków, odczynników, usług medycznych</w:t>
      </w:r>
      <w:r w:rsidRPr="00A03FFC">
        <w:rPr>
          <w:color w:val="393939"/>
          <w:sz w:val="28"/>
          <w:szCs w:val="28"/>
        </w:rPr>
        <w:t xml:space="preserve"> i amortyzacji). Koszty dla 20</w:t>
      </w:r>
      <w:r w:rsidR="009E66C1" w:rsidRPr="00A03FFC">
        <w:rPr>
          <w:color w:val="393939"/>
          <w:sz w:val="28"/>
          <w:szCs w:val="28"/>
        </w:rPr>
        <w:t>20</w:t>
      </w:r>
      <w:r w:rsidRPr="00A03FFC">
        <w:rPr>
          <w:color w:val="393939"/>
          <w:sz w:val="28"/>
          <w:szCs w:val="28"/>
        </w:rPr>
        <w:t xml:space="preserve"> r. przyjęto na </w:t>
      </w:r>
      <w:r w:rsidR="00B445BA" w:rsidRPr="00A03FFC">
        <w:rPr>
          <w:color w:val="393939"/>
          <w:sz w:val="28"/>
          <w:szCs w:val="28"/>
        </w:rPr>
        <w:t>poziomie</w:t>
      </w:r>
      <w:r w:rsidRPr="00A03FFC">
        <w:rPr>
          <w:color w:val="393939"/>
          <w:sz w:val="28"/>
          <w:szCs w:val="28"/>
        </w:rPr>
        <w:t xml:space="preserve"> planowanych  kosztów roku 201</w:t>
      </w:r>
      <w:r w:rsidR="009E66C1" w:rsidRPr="00A03FFC">
        <w:rPr>
          <w:color w:val="393939"/>
          <w:sz w:val="28"/>
          <w:szCs w:val="28"/>
        </w:rPr>
        <w:t>9</w:t>
      </w:r>
      <w:r w:rsidRPr="00A03FFC">
        <w:rPr>
          <w:color w:val="393939"/>
          <w:sz w:val="28"/>
          <w:szCs w:val="28"/>
        </w:rPr>
        <w:t>. Zaplanowano zmniejszenie kosztów operacyjnych w roku 20</w:t>
      </w:r>
      <w:r w:rsidR="009E66C1" w:rsidRPr="00A03FFC">
        <w:rPr>
          <w:color w:val="393939"/>
          <w:sz w:val="28"/>
          <w:szCs w:val="28"/>
        </w:rPr>
        <w:t>2</w:t>
      </w:r>
      <w:r w:rsidR="005B3B22" w:rsidRPr="00A03FFC">
        <w:rPr>
          <w:color w:val="393939"/>
          <w:sz w:val="28"/>
          <w:szCs w:val="28"/>
        </w:rPr>
        <w:t>1</w:t>
      </w:r>
      <w:r w:rsidRPr="00A03FFC">
        <w:rPr>
          <w:color w:val="393939"/>
          <w:sz w:val="28"/>
          <w:szCs w:val="28"/>
        </w:rPr>
        <w:t xml:space="preserve"> (wynikające ze zmniejszenia kosztów amortyzacji).</w:t>
      </w:r>
    </w:p>
    <w:p w:rsidR="00DD71FF" w:rsidRPr="00A03FFC" w:rsidRDefault="006936F7">
      <w:pPr>
        <w:pStyle w:val="Teksttreci0"/>
        <w:numPr>
          <w:ilvl w:val="0"/>
          <w:numId w:val="6"/>
        </w:numPr>
        <w:shd w:val="clear" w:color="auto" w:fill="auto"/>
        <w:tabs>
          <w:tab w:val="left" w:pos="403"/>
        </w:tabs>
        <w:spacing w:line="386" w:lineRule="auto"/>
        <w:ind w:left="460" w:hanging="460"/>
        <w:jc w:val="both"/>
        <w:rPr>
          <w:sz w:val="28"/>
          <w:szCs w:val="28"/>
        </w:rPr>
      </w:pPr>
      <w:r w:rsidRPr="00A03FFC">
        <w:rPr>
          <w:color w:val="393939"/>
          <w:sz w:val="28"/>
          <w:szCs w:val="28"/>
        </w:rPr>
        <w:t>Ewentualne zapowiadane podwyższenia wynagrodzeń znajdą finansowanie ze środków budżetu państwa.</w:t>
      </w:r>
    </w:p>
    <w:p w:rsidR="00DD71FF" w:rsidRPr="00A03FFC" w:rsidRDefault="009E66C1">
      <w:pPr>
        <w:pStyle w:val="Teksttreci0"/>
        <w:numPr>
          <w:ilvl w:val="0"/>
          <w:numId w:val="6"/>
        </w:numPr>
        <w:shd w:val="clear" w:color="auto" w:fill="auto"/>
        <w:tabs>
          <w:tab w:val="left" w:pos="403"/>
        </w:tabs>
        <w:ind w:left="460" w:hanging="460"/>
        <w:jc w:val="both"/>
        <w:rPr>
          <w:sz w:val="28"/>
          <w:szCs w:val="28"/>
        </w:rPr>
      </w:pPr>
      <w:r w:rsidRPr="00A03FFC">
        <w:rPr>
          <w:color w:val="393939"/>
          <w:sz w:val="28"/>
          <w:szCs w:val="28"/>
        </w:rPr>
        <w:t xml:space="preserve"> W roku 20</w:t>
      </w:r>
      <w:r w:rsidR="007C0290">
        <w:rPr>
          <w:color w:val="393939"/>
          <w:sz w:val="28"/>
          <w:szCs w:val="28"/>
        </w:rPr>
        <w:t>20</w:t>
      </w:r>
      <w:r w:rsidRPr="00A03FFC">
        <w:rPr>
          <w:color w:val="393939"/>
          <w:sz w:val="28"/>
          <w:szCs w:val="28"/>
        </w:rPr>
        <w:t xml:space="preserve"> z</w:t>
      </w:r>
      <w:r w:rsidR="00D11FBA">
        <w:rPr>
          <w:color w:val="393939"/>
          <w:sz w:val="28"/>
          <w:szCs w:val="28"/>
        </w:rPr>
        <w:t>a</w:t>
      </w:r>
      <w:r w:rsidRPr="00A03FFC">
        <w:rPr>
          <w:color w:val="393939"/>
          <w:sz w:val="28"/>
          <w:szCs w:val="28"/>
        </w:rPr>
        <w:t xml:space="preserve">wieszono świadczenia z </w:t>
      </w:r>
      <w:r w:rsidR="006936F7" w:rsidRPr="00A03FFC">
        <w:rPr>
          <w:color w:val="393939"/>
          <w:sz w:val="28"/>
          <w:szCs w:val="28"/>
        </w:rPr>
        <w:t xml:space="preserve"> Zakładowego Funduszu Świadczeń Socjalnych </w:t>
      </w:r>
      <w:r w:rsidRPr="00A03FFC">
        <w:rPr>
          <w:color w:val="393939"/>
          <w:sz w:val="28"/>
          <w:szCs w:val="28"/>
        </w:rPr>
        <w:t>i przewidywane jest także na rok 202</w:t>
      </w:r>
      <w:r w:rsidR="007C0290">
        <w:rPr>
          <w:color w:val="393939"/>
          <w:sz w:val="28"/>
          <w:szCs w:val="28"/>
        </w:rPr>
        <w:t>1</w:t>
      </w:r>
      <w:r w:rsidRPr="00A03FFC">
        <w:rPr>
          <w:color w:val="393939"/>
          <w:sz w:val="28"/>
          <w:szCs w:val="28"/>
        </w:rPr>
        <w:t xml:space="preserve"> ze względu na trudną </w:t>
      </w:r>
      <w:r w:rsidRPr="00A03FFC">
        <w:rPr>
          <w:color w:val="393939"/>
          <w:sz w:val="28"/>
          <w:szCs w:val="28"/>
        </w:rPr>
        <w:lastRenderedPageBreak/>
        <w:t>sytuacj</w:t>
      </w:r>
      <w:r w:rsidR="00D11FBA">
        <w:rPr>
          <w:color w:val="393939"/>
          <w:sz w:val="28"/>
          <w:szCs w:val="28"/>
        </w:rPr>
        <w:t>ę</w:t>
      </w:r>
      <w:r w:rsidRPr="00A03FFC">
        <w:rPr>
          <w:color w:val="393939"/>
          <w:sz w:val="28"/>
          <w:szCs w:val="28"/>
        </w:rPr>
        <w:t xml:space="preserve"> szpitala. </w:t>
      </w:r>
    </w:p>
    <w:p w:rsidR="00086450" w:rsidRPr="00A03FFC" w:rsidRDefault="006936F7" w:rsidP="00AC69C7">
      <w:pPr>
        <w:pStyle w:val="Teksttreci0"/>
        <w:numPr>
          <w:ilvl w:val="0"/>
          <w:numId w:val="6"/>
        </w:numPr>
        <w:shd w:val="clear" w:color="auto" w:fill="auto"/>
        <w:tabs>
          <w:tab w:val="left" w:pos="403"/>
        </w:tabs>
        <w:spacing w:after="560" w:line="382" w:lineRule="auto"/>
        <w:ind w:left="459" w:hanging="459"/>
        <w:jc w:val="both"/>
        <w:rPr>
          <w:sz w:val="28"/>
          <w:szCs w:val="28"/>
        </w:rPr>
      </w:pPr>
      <w:r w:rsidRPr="00A03FFC">
        <w:rPr>
          <w:color w:val="393939"/>
          <w:sz w:val="28"/>
          <w:szCs w:val="28"/>
        </w:rPr>
        <w:t xml:space="preserve">Odroczenie lub umorzenie zobowiązań </w:t>
      </w:r>
      <w:r w:rsidR="00692B60" w:rsidRPr="00A03FFC">
        <w:rPr>
          <w:color w:val="393939"/>
          <w:sz w:val="28"/>
          <w:szCs w:val="28"/>
        </w:rPr>
        <w:t xml:space="preserve"> wobec Gminy Białystok organu założycielskiego(pożyczka na spłatę</w:t>
      </w:r>
      <w:r w:rsidR="00AC69C7" w:rsidRPr="00A03FFC">
        <w:rPr>
          <w:color w:val="393939"/>
          <w:sz w:val="28"/>
          <w:szCs w:val="28"/>
        </w:rPr>
        <w:t xml:space="preserve"> </w:t>
      </w:r>
      <w:r w:rsidR="00692B60" w:rsidRPr="00A03FFC">
        <w:rPr>
          <w:color w:val="393939"/>
          <w:sz w:val="28"/>
          <w:szCs w:val="28"/>
        </w:rPr>
        <w:t>zobowiązania przypadającego do zwrotu</w:t>
      </w:r>
      <w:r w:rsidR="00E43BB9" w:rsidRPr="00A03FFC">
        <w:rPr>
          <w:color w:val="393939"/>
          <w:sz w:val="28"/>
          <w:szCs w:val="28"/>
        </w:rPr>
        <w:t xml:space="preserve"> dla Urzędu Marszałkowskiego</w:t>
      </w:r>
      <w:r w:rsidR="00692B60" w:rsidRPr="00A03FFC">
        <w:rPr>
          <w:color w:val="393939"/>
          <w:sz w:val="28"/>
          <w:szCs w:val="28"/>
        </w:rPr>
        <w:t xml:space="preserve"> </w:t>
      </w:r>
      <w:r w:rsidR="00E43BB9" w:rsidRPr="00A03FFC">
        <w:rPr>
          <w:color w:val="393939"/>
          <w:sz w:val="28"/>
          <w:szCs w:val="28"/>
        </w:rPr>
        <w:t>w związku ze stwierdzonymi nieprawidłowościami w ramach realizacji Projektu pn</w:t>
      </w:r>
      <w:r w:rsidR="006B13F8" w:rsidRPr="00A03FFC">
        <w:rPr>
          <w:color w:val="393939"/>
          <w:sz w:val="28"/>
          <w:szCs w:val="28"/>
        </w:rPr>
        <w:t xml:space="preserve">. </w:t>
      </w:r>
      <w:r w:rsidR="00E43BB9" w:rsidRPr="00A03FFC">
        <w:rPr>
          <w:color w:val="393939"/>
          <w:sz w:val="28"/>
          <w:szCs w:val="28"/>
        </w:rPr>
        <w:t>’’Stworzenie infrastruktury oraz wdrożenie oprogramowania w Samodzielnym Szpitalu Miejskim im. PCK w Białymstoku umożliwiających uruchomienie e- usług medycznych oraz integrację z regionalnym systemem e- Zdrowie na podstawie umowy o dofinansowanie.  Po</w:t>
      </w:r>
      <w:r w:rsidRPr="00A03FFC">
        <w:rPr>
          <w:color w:val="393939"/>
          <w:sz w:val="28"/>
          <w:szCs w:val="28"/>
        </w:rPr>
        <w:t xml:space="preserve"> uwzględnieniu powyższych założeń ustalono prognozę sytuacji ekonomiczno-finansowej w okresie 201</w:t>
      </w:r>
      <w:r w:rsidR="00E43BB9" w:rsidRPr="00A03FFC">
        <w:rPr>
          <w:color w:val="393939"/>
          <w:sz w:val="28"/>
          <w:szCs w:val="28"/>
        </w:rPr>
        <w:t>9</w:t>
      </w:r>
      <w:r w:rsidRPr="00A03FFC">
        <w:rPr>
          <w:color w:val="393939"/>
          <w:sz w:val="28"/>
          <w:szCs w:val="28"/>
        </w:rPr>
        <w:t xml:space="preserve"> - 20</w:t>
      </w:r>
      <w:r w:rsidR="00E43BB9" w:rsidRPr="00A03FFC">
        <w:rPr>
          <w:color w:val="393939"/>
          <w:sz w:val="28"/>
          <w:szCs w:val="28"/>
        </w:rPr>
        <w:t>2</w:t>
      </w:r>
      <w:r w:rsidR="007C0290">
        <w:rPr>
          <w:color w:val="393939"/>
          <w:sz w:val="28"/>
          <w:szCs w:val="28"/>
        </w:rPr>
        <w:t>2</w:t>
      </w:r>
      <w:r w:rsidRPr="00A03FFC">
        <w:rPr>
          <w:color w:val="393939"/>
          <w:sz w:val="28"/>
          <w:szCs w:val="28"/>
        </w:rPr>
        <w:t xml:space="preserve"> - tabela nr 2, która w latach 20</w:t>
      </w:r>
      <w:r w:rsidR="00E43BB9" w:rsidRPr="00A03FFC">
        <w:rPr>
          <w:color w:val="393939"/>
          <w:sz w:val="28"/>
          <w:szCs w:val="28"/>
        </w:rPr>
        <w:t>20</w:t>
      </w:r>
      <w:r w:rsidRPr="00A03FFC">
        <w:rPr>
          <w:color w:val="393939"/>
          <w:sz w:val="28"/>
          <w:szCs w:val="28"/>
        </w:rPr>
        <w:t xml:space="preserve"> i 20</w:t>
      </w:r>
      <w:r w:rsidR="00E43BB9" w:rsidRPr="00A03FFC">
        <w:rPr>
          <w:color w:val="393939"/>
          <w:sz w:val="28"/>
          <w:szCs w:val="28"/>
        </w:rPr>
        <w:t>21</w:t>
      </w:r>
      <w:r w:rsidRPr="00A03FFC">
        <w:rPr>
          <w:color w:val="393939"/>
          <w:sz w:val="28"/>
          <w:szCs w:val="28"/>
        </w:rPr>
        <w:t xml:space="preserve"> wskazuje na możliwość osiągnięcia dodatniego wyniku finansowego i polepszenie wskaźników.</w:t>
      </w:r>
    </w:p>
    <w:p w:rsidR="00DD71FF" w:rsidRPr="00D45950" w:rsidRDefault="006936F7">
      <w:pPr>
        <w:pStyle w:val="Podpistabeli0"/>
        <w:shd w:val="clear" w:color="auto" w:fill="auto"/>
        <w:jc w:val="both"/>
        <w:rPr>
          <w:sz w:val="24"/>
          <w:szCs w:val="24"/>
        </w:rPr>
      </w:pPr>
      <w:r w:rsidRPr="00D45950">
        <w:rPr>
          <w:sz w:val="24"/>
          <w:szCs w:val="24"/>
        </w:rPr>
        <w:t>Tab. nr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8"/>
        <w:gridCol w:w="3768"/>
        <w:gridCol w:w="907"/>
        <w:gridCol w:w="1085"/>
        <w:gridCol w:w="912"/>
        <w:gridCol w:w="936"/>
      </w:tblGrid>
      <w:tr w:rsidR="00DD71FF" w:rsidRPr="00D45950" w:rsidTr="007F6B26">
        <w:trPr>
          <w:trHeight w:hRule="exact" w:val="480"/>
          <w:jc w:val="center"/>
        </w:trPr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1FF" w:rsidRPr="002A1BF4" w:rsidRDefault="006936F7" w:rsidP="00156293">
            <w:pPr>
              <w:pStyle w:val="Inne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Porównanie wskaźników określających sytuację ekonomiczno-finansową w okresie 201</w:t>
            </w:r>
            <w:r w:rsidR="00983B90" w:rsidRPr="002A1BF4">
              <w:rPr>
                <w:color w:val="3B3B3B"/>
                <w:sz w:val="18"/>
                <w:szCs w:val="18"/>
              </w:rPr>
              <w:t>8</w:t>
            </w:r>
            <w:r w:rsidRPr="002A1BF4">
              <w:rPr>
                <w:color w:val="3B3B3B"/>
                <w:sz w:val="18"/>
                <w:szCs w:val="18"/>
              </w:rPr>
              <w:t xml:space="preserve"> - 20</w:t>
            </w:r>
            <w:r w:rsidR="00983B90" w:rsidRPr="002A1BF4">
              <w:rPr>
                <w:color w:val="3B3B3B"/>
                <w:sz w:val="18"/>
                <w:szCs w:val="18"/>
              </w:rPr>
              <w:t>2</w:t>
            </w:r>
            <w:r w:rsidR="00156293" w:rsidRPr="002A1BF4">
              <w:rPr>
                <w:color w:val="3B3B3B"/>
                <w:sz w:val="18"/>
                <w:szCs w:val="18"/>
              </w:rPr>
              <w:t>1</w:t>
            </w:r>
          </w:p>
        </w:tc>
      </w:tr>
      <w:tr w:rsidR="00DD71FF" w:rsidRPr="00D45950" w:rsidTr="007F6B26">
        <w:trPr>
          <w:trHeight w:hRule="exact" w:val="49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ind w:firstLine="440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Grupa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Wskaźnik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000000"/>
                <w:sz w:val="18"/>
                <w:szCs w:val="18"/>
              </w:rPr>
              <w:t>Wartość wskaźnika</w:t>
            </w:r>
          </w:p>
        </w:tc>
      </w:tr>
      <w:tr w:rsidR="00DD71FF" w:rsidRPr="00D45950" w:rsidTr="007F6B26">
        <w:trPr>
          <w:trHeight w:hRule="exact" w:val="278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2A1BF4">
              <w:rPr>
                <w:b/>
                <w:bCs/>
                <w:color w:val="3B3B3B"/>
                <w:sz w:val="18"/>
                <w:szCs w:val="18"/>
              </w:rPr>
              <w:t>Rok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 w:rsidP="00983B90">
            <w:pPr>
              <w:pStyle w:val="Inne0"/>
              <w:shd w:val="clear" w:color="auto" w:fill="auto"/>
              <w:spacing w:after="0" w:line="240" w:lineRule="auto"/>
              <w:ind w:firstLine="240"/>
              <w:rPr>
                <w:b/>
                <w:bCs/>
                <w:sz w:val="18"/>
                <w:szCs w:val="18"/>
              </w:rPr>
            </w:pPr>
            <w:r w:rsidRPr="002A1BF4">
              <w:rPr>
                <w:b/>
                <w:bCs/>
                <w:color w:val="3B3B3B"/>
                <w:sz w:val="18"/>
                <w:szCs w:val="18"/>
              </w:rPr>
              <w:t>201</w:t>
            </w:r>
            <w:r w:rsidR="00983B90" w:rsidRPr="002A1BF4">
              <w:rPr>
                <w:b/>
                <w:bCs/>
                <w:color w:val="3B3B3B"/>
                <w:sz w:val="18"/>
                <w:szCs w:val="18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 w:rsidP="00983B90">
            <w:pPr>
              <w:pStyle w:val="Inne0"/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1BF4">
              <w:rPr>
                <w:b/>
                <w:bCs/>
                <w:color w:val="3B3B3B"/>
                <w:sz w:val="18"/>
                <w:szCs w:val="18"/>
              </w:rPr>
              <w:t>201</w:t>
            </w:r>
            <w:r w:rsidR="00983B90" w:rsidRPr="002A1BF4">
              <w:rPr>
                <w:b/>
                <w:bCs/>
                <w:color w:val="3B3B3B"/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 w:rsidP="00983B90">
            <w:pPr>
              <w:pStyle w:val="Inne0"/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1BF4">
              <w:rPr>
                <w:b/>
                <w:bCs/>
                <w:color w:val="3B3B3B"/>
                <w:sz w:val="18"/>
                <w:szCs w:val="18"/>
              </w:rPr>
              <w:t>20</w:t>
            </w:r>
            <w:r w:rsidR="00983B90" w:rsidRPr="002A1BF4">
              <w:rPr>
                <w:b/>
                <w:bCs/>
                <w:color w:val="3B3B3B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 w:rsidP="00983B90">
            <w:pPr>
              <w:pStyle w:val="Inne0"/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1BF4">
              <w:rPr>
                <w:b/>
                <w:bCs/>
                <w:color w:val="3B3B3B"/>
                <w:sz w:val="18"/>
                <w:szCs w:val="18"/>
              </w:rPr>
              <w:t>20</w:t>
            </w:r>
            <w:r w:rsidR="00983B90" w:rsidRPr="002A1BF4">
              <w:rPr>
                <w:b/>
                <w:bCs/>
                <w:color w:val="3B3B3B"/>
                <w:sz w:val="18"/>
                <w:szCs w:val="18"/>
              </w:rPr>
              <w:t>21</w:t>
            </w:r>
          </w:p>
        </w:tc>
      </w:tr>
      <w:tr w:rsidR="00DD71FF" w:rsidRPr="00D45950" w:rsidTr="007F6B26">
        <w:trPr>
          <w:trHeight w:hRule="exact" w:val="23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D71FF" w:rsidRPr="002A1BF4" w:rsidRDefault="006936F7">
            <w:pPr>
              <w:pStyle w:val="Inne0"/>
              <w:shd w:val="clear" w:color="auto" w:fill="auto"/>
              <w:spacing w:after="0" w:line="254" w:lineRule="auto"/>
              <w:jc w:val="both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1.Wskaźniki zyskowności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1) wskaźnik zyskowności netto 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 w:rsidP="003C18AE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-</w:t>
            </w:r>
            <w:r w:rsidR="003C18AE" w:rsidRPr="002A1BF4">
              <w:rPr>
                <w:color w:val="3B3B3B"/>
                <w:sz w:val="18"/>
                <w:szCs w:val="18"/>
              </w:rPr>
              <w:t>6,4</w:t>
            </w:r>
            <w:r w:rsidRPr="002A1BF4">
              <w:rPr>
                <w:color w:val="3B3B3B"/>
                <w:sz w:val="18"/>
                <w:szCs w:val="18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 w:rsidP="007C029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-</w:t>
            </w:r>
            <w:r w:rsidR="007C0290">
              <w:rPr>
                <w:color w:val="3B3B3B"/>
                <w:sz w:val="18"/>
                <w:szCs w:val="18"/>
              </w:rPr>
              <w:t>7,4</w:t>
            </w:r>
            <w:r w:rsidRPr="002A1BF4">
              <w:rPr>
                <w:color w:val="3B3B3B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C85BB7">
            <w:pPr>
              <w:pStyle w:val="Inne0"/>
              <w:shd w:val="clear" w:color="auto" w:fill="auto"/>
              <w:spacing w:after="0" w:line="240" w:lineRule="auto"/>
              <w:ind w:firstLine="240"/>
              <w:jc w:val="both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2</w:t>
            </w:r>
            <w:r w:rsidR="006936F7" w:rsidRPr="002A1BF4">
              <w:rPr>
                <w:color w:val="3B3B3B"/>
                <w:sz w:val="18"/>
                <w:szCs w:val="18"/>
              </w:rPr>
              <w:t>,0%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156293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1</w:t>
            </w:r>
            <w:r w:rsidR="00C85BB7" w:rsidRPr="002A1BF4">
              <w:rPr>
                <w:color w:val="3B3B3B"/>
                <w:sz w:val="18"/>
                <w:szCs w:val="18"/>
              </w:rPr>
              <w:t>,</w:t>
            </w:r>
            <w:r w:rsidR="006936F7" w:rsidRPr="002A1BF4">
              <w:rPr>
                <w:color w:val="3B3B3B"/>
                <w:sz w:val="18"/>
                <w:szCs w:val="18"/>
              </w:rPr>
              <w:t>3%</w:t>
            </w:r>
          </w:p>
        </w:tc>
      </w:tr>
      <w:tr w:rsidR="00DD71FF" w:rsidRPr="00D45950" w:rsidTr="007F6B26">
        <w:trPr>
          <w:trHeight w:hRule="exact" w:val="466"/>
          <w:jc w:val="center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D71FF" w:rsidRPr="002A1BF4" w:rsidRDefault="00DD7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2) wskaźniki zyskowności działalności operacyjnej 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 w:rsidP="003C18AE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-</w:t>
            </w:r>
            <w:r w:rsidR="003C18AE" w:rsidRPr="002A1BF4">
              <w:rPr>
                <w:color w:val="3B3B3B"/>
                <w:sz w:val="18"/>
                <w:szCs w:val="18"/>
              </w:rPr>
              <w:t>6,2</w:t>
            </w:r>
            <w:r w:rsidRPr="002A1BF4">
              <w:rPr>
                <w:color w:val="3B3B3B"/>
                <w:sz w:val="18"/>
                <w:szCs w:val="18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 w:rsidP="007C029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-</w:t>
            </w:r>
            <w:r w:rsidR="003C18AE" w:rsidRPr="002A1BF4">
              <w:rPr>
                <w:color w:val="3B3B3B"/>
                <w:sz w:val="18"/>
                <w:szCs w:val="18"/>
              </w:rPr>
              <w:t>,</w:t>
            </w:r>
            <w:r w:rsidR="007C0290">
              <w:rPr>
                <w:color w:val="3B3B3B"/>
                <w:sz w:val="18"/>
                <w:szCs w:val="18"/>
              </w:rPr>
              <w:t>7,03</w:t>
            </w:r>
            <w:r w:rsidRPr="002A1BF4">
              <w:rPr>
                <w:color w:val="3B3B3B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1,6%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1,9%</w:t>
            </w:r>
          </w:p>
        </w:tc>
      </w:tr>
      <w:tr w:rsidR="00DD71FF" w:rsidRPr="00D45950" w:rsidTr="007F6B26">
        <w:trPr>
          <w:trHeight w:hRule="exact" w:val="250"/>
          <w:jc w:val="center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D71FF" w:rsidRPr="002A1BF4" w:rsidRDefault="00DD7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3) wskaźniki zyskowności aktywów 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 w:rsidP="003C18AE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-1</w:t>
            </w:r>
            <w:r w:rsidR="003C18AE" w:rsidRPr="002A1BF4">
              <w:rPr>
                <w:color w:val="3B3B3B"/>
                <w:sz w:val="18"/>
                <w:szCs w:val="18"/>
              </w:rPr>
              <w:t>1,3</w:t>
            </w:r>
            <w:r w:rsidRPr="002A1BF4">
              <w:rPr>
                <w:color w:val="3B3B3B"/>
                <w:sz w:val="18"/>
                <w:szCs w:val="18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 w:rsidP="007C029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-</w:t>
            </w:r>
            <w:r w:rsidR="007C0290">
              <w:rPr>
                <w:color w:val="3B3B3B"/>
                <w:sz w:val="18"/>
                <w:szCs w:val="18"/>
              </w:rPr>
              <w:t>15,35</w:t>
            </w:r>
            <w:r w:rsidRPr="002A1BF4">
              <w:rPr>
                <w:color w:val="3B3B3B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ind w:firstLine="240"/>
              <w:jc w:val="both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1,2%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1.6%</w:t>
            </w:r>
          </w:p>
        </w:tc>
      </w:tr>
      <w:tr w:rsidR="00DD71FF" w:rsidRPr="00D45950" w:rsidTr="007F6B26">
        <w:trPr>
          <w:trHeight w:hRule="exact" w:val="240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D71FF" w:rsidRPr="002A1BF4" w:rsidRDefault="006936F7">
            <w:pPr>
              <w:pStyle w:val="Inne0"/>
              <w:shd w:val="clear" w:color="auto" w:fill="auto"/>
              <w:spacing w:after="0" w:line="259" w:lineRule="auto"/>
              <w:jc w:val="both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2.Wskaźniki płynności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1) wskaźnik bieżącej płynności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 w:rsidP="003C18AE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0.</w:t>
            </w:r>
            <w:r w:rsidR="003C18AE" w:rsidRPr="002A1BF4">
              <w:rPr>
                <w:color w:val="3B3B3B"/>
                <w:sz w:val="18"/>
                <w:szCs w:val="18"/>
              </w:rPr>
              <w:t>3%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7C0290" w:rsidP="003C18AE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3B3B3B"/>
                <w:sz w:val="18"/>
                <w:szCs w:val="18"/>
              </w:rPr>
              <w:t>037</w:t>
            </w:r>
            <w:r w:rsidR="003C18AE" w:rsidRPr="002A1BF4">
              <w:rPr>
                <w:color w:val="3B3B3B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 w:rsidP="00C85BB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0,3</w:t>
            </w:r>
            <w:r w:rsidR="00C85BB7" w:rsidRPr="002A1BF4">
              <w:rPr>
                <w:color w:val="3B3B3B"/>
                <w:sz w:val="18"/>
                <w:szCs w:val="18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 w:rsidP="00C85BB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0,3</w:t>
            </w:r>
            <w:r w:rsidR="00C85BB7" w:rsidRPr="002A1BF4">
              <w:rPr>
                <w:color w:val="3B3B3B"/>
                <w:sz w:val="18"/>
                <w:szCs w:val="18"/>
              </w:rPr>
              <w:t>2</w:t>
            </w:r>
          </w:p>
        </w:tc>
      </w:tr>
      <w:tr w:rsidR="00DD71FF" w:rsidRPr="00D45950" w:rsidTr="007F6B26">
        <w:trPr>
          <w:trHeight w:hRule="exact" w:val="221"/>
          <w:jc w:val="center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D71FF" w:rsidRPr="002A1BF4" w:rsidRDefault="00DD7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2) wskaźniki szybkiej płynności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 w:rsidP="003C18AE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0.</w:t>
            </w:r>
            <w:r w:rsidR="003C18AE" w:rsidRPr="002A1BF4">
              <w:rPr>
                <w:color w:val="3B3B3B"/>
                <w:sz w:val="18"/>
                <w:szCs w:val="18"/>
              </w:rPr>
              <w:t>2</w:t>
            </w:r>
            <w:r w:rsidR="00BC134B" w:rsidRPr="002A1BF4">
              <w:rPr>
                <w:color w:val="3B3B3B"/>
                <w:sz w:val="18"/>
                <w:szCs w:val="18"/>
              </w:rPr>
              <w:t>8</w:t>
            </w:r>
            <w:r w:rsidR="003C18AE" w:rsidRPr="002A1BF4">
              <w:rPr>
                <w:color w:val="3B3B3B"/>
                <w:sz w:val="18"/>
                <w:szCs w:val="18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7C0290" w:rsidP="003C18AE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3B3B3B"/>
                <w:sz w:val="18"/>
                <w:szCs w:val="18"/>
              </w:rPr>
              <w:t>0,35%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0,32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0,31</w:t>
            </w:r>
          </w:p>
        </w:tc>
      </w:tr>
      <w:tr w:rsidR="00DD71FF" w:rsidRPr="00D45950" w:rsidTr="007F6B26">
        <w:trPr>
          <w:trHeight w:hRule="exact" w:val="274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D71FF" w:rsidRPr="002A1BF4" w:rsidRDefault="006936F7">
            <w:pPr>
              <w:pStyle w:val="Inne0"/>
              <w:shd w:val="clear" w:color="auto" w:fill="auto"/>
              <w:spacing w:after="0" w:line="259" w:lineRule="auto"/>
              <w:jc w:val="both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3.Wskaźniki efektywności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 xml:space="preserve">1) wskaźnik rotacji należności </w:t>
            </w:r>
            <w:r w:rsidR="00B445BA" w:rsidRPr="002A1BF4">
              <w:rPr>
                <w:color w:val="3B3B3B"/>
                <w:sz w:val="18"/>
                <w:szCs w:val="18"/>
              </w:rPr>
              <w:t>(w</w:t>
            </w:r>
            <w:r w:rsidRPr="002A1BF4">
              <w:rPr>
                <w:color w:val="3B3B3B"/>
                <w:sz w:val="18"/>
                <w:szCs w:val="18"/>
              </w:rPr>
              <w:t xml:space="preserve"> dniach)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3C18AE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sz w:val="18"/>
                <w:szCs w:val="18"/>
              </w:rPr>
              <w:t>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71FF" w:rsidRPr="002A1BF4" w:rsidRDefault="007C0290" w:rsidP="007C029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3B3B3B"/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ind w:firstLine="340"/>
              <w:jc w:val="both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21</w:t>
            </w:r>
          </w:p>
        </w:tc>
      </w:tr>
      <w:tr w:rsidR="00DD71FF" w:rsidRPr="00D45950" w:rsidTr="007F6B26">
        <w:trPr>
          <w:trHeight w:hRule="exact" w:val="446"/>
          <w:jc w:val="center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D71FF" w:rsidRPr="002A1BF4" w:rsidRDefault="00DD7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 xml:space="preserve">2) wskaźniki rotacji zobowiązań </w:t>
            </w:r>
            <w:r w:rsidR="00B445BA" w:rsidRPr="002A1BF4">
              <w:rPr>
                <w:color w:val="3B3B3B"/>
                <w:sz w:val="18"/>
                <w:szCs w:val="18"/>
              </w:rPr>
              <w:t>(w</w:t>
            </w:r>
            <w:r w:rsidRPr="002A1BF4">
              <w:rPr>
                <w:color w:val="3B3B3B"/>
                <w:sz w:val="18"/>
                <w:szCs w:val="18"/>
              </w:rPr>
              <w:t xml:space="preserve"> dniach)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3C18AE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7C029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3B3B3B"/>
                <w:sz w:val="18"/>
                <w:szCs w:val="18"/>
              </w:rPr>
              <w:t>39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 w:rsidP="00C85BB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1</w:t>
            </w:r>
            <w:r w:rsidR="00C85BB7" w:rsidRPr="002A1BF4">
              <w:rPr>
                <w:color w:val="3B3B3B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13</w:t>
            </w:r>
          </w:p>
        </w:tc>
      </w:tr>
      <w:tr w:rsidR="00DD71FF" w:rsidRPr="00D45950" w:rsidTr="007F6B26">
        <w:trPr>
          <w:trHeight w:hRule="exact" w:val="250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D71FF" w:rsidRPr="002A1BF4" w:rsidRDefault="006936F7">
            <w:pPr>
              <w:pStyle w:val="Inne0"/>
              <w:shd w:val="clear" w:color="auto" w:fill="auto"/>
              <w:spacing w:after="0" w:line="259" w:lineRule="auto"/>
              <w:jc w:val="both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4.Wskaźniki zadłużenia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1) wskaźnik zadłużenia aktywów 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 w:rsidP="003C18AE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3</w:t>
            </w:r>
            <w:r w:rsidR="003C18AE" w:rsidRPr="002A1BF4">
              <w:rPr>
                <w:color w:val="3B3B3B"/>
                <w:sz w:val="18"/>
                <w:szCs w:val="18"/>
              </w:rPr>
              <w:t>3</w:t>
            </w:r>
            <w:r w:rsidRPr="002A1BF4">
              <w:rPr>
                <w:color w:val="3B3B3B"/>
                <w:sz w:val="18"/>
                <w:szCs w:val="18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7C0290" w:rsidP="007C029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3B3B3B"/>
                <w:sz w:val="18"/>
                <w:szCs w:val="18"/>
              </w:rPr>
              <w:t>51</w:t>
            </w:r>
            <w:r w:rsidR="006936F7" w:rsidRPr="002A1BF4">
              <w:rPr>
                <w:color w:val="3B3B3B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37%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36%</w:t>
            </w:r>
          </w:p>
        </w:tc>
      </w:tr>
      <w:tr w:rsidR="00DD71FF" w:rsidRPr="00D45950" w:rsidTr="007F6B26">
        <w:trPr>
          <w:trHeight w:hRule="exact" w:val="269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71FF" w:rsidRPr="002A1BF4" w:rsidRDefault="00DD7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2) wskaźniki wypłacalności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3C18AE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2,29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7C0290">
            <w:pPr>
              <w:pStyle w:val="Inne0"/>
              <w:shd w:val="clear" w:color="auto" w:fill="auto"/>
              <w:spacing w:after="0" w:line="240" w:lineRule="auto"/>
              <w:ind w:firstLine="340"/>
              <w:jc w:val="both"/>
              <w:rPr>
                <w:sz w:val="18"/>
                <w:szCs w:val="18"/>
              </w:rPr>
            </w:pPr>
            <w:r>
              <w:rPr>
                <w:color w:val="3B3B3B"/>
                <w:sz w:val="18"/>
                <w:szCs w:val="18"/>
              </w:rPr>
              <w:t>-1,5%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C85BB7">
            <w:pPr>
              <w:pStyle w:val="Inne0"/>
              <w:shd w:val="clear" w:color="auto" w:fill="auto"/>
              <w:spacing w:after="0" w:line="240" w:lineRule="auto"/>
              <w:ind w:firstLine="240"/>
              <w:jc w:val="both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8</w:t>
            </w:r>
            <w:r w:rsidR="006936F7" w:rsidRPr="002A1BF4">
              <w:rPr>
                <w:color w:val="3B3B3B"/>
                <w:sz w:val="18"/>
                <w:szCs w:val="18"/>
              </w:rPr>
              <w:t>,20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1FF" w:rsidRPr="002A1BF4" w:rsidRDefault="006936F7">
            <w:pPr>
              <w:pStyle w:val="Inne0"/>
              <w:shd w:val="clear" w:color="auto" w:fill="auto"/>
              <w:spacing w:after="0" w:line="240" w:lineRule="auto"/>
              <w:ind w:firstLine="240"/>
              <w:jc w:val="both"/>
              <w:rPr>
                <w:sz w:val="18"/>
                <w:szCs w:val="18"/>
              </w:rPr>
            </w:pPr>
            <w:r w:rsidRPr="002A1BF4">
              <w:rPr>
                <w:color w:val="3B3B3B"/>
                <w:sz w:val="18"/>
                <w:szCs w:val="18"/>
              </w:rPr>
              <w:t>10,12</w:t>
            </w:r>
          </w:p>
        </w:tc>
      </w:tr>
    </w:tbl>
    <w:p w:rsidR="00DD71FF" w:rsidRPr="00A03FFC" w:rsidRDefault="00DD71FF">
      <w:pPr>
        <w:spacing w:after="599" w:line="1" w:lineRule="exact"/>
        <w:rPr>
          <w:rFonts w:ascii="Times New Roman" w:hAnsi="Times New Roman" w:cs="Times New Roman"/>
          <w:sz w:val="28"/>
          <w:szCs w:val="28"/>
        </w:rPr>
      </w:pPr>
    </w:p>
    <w:p w:rsidR="00DD71FF" w:rsidRDefault="006936F7" w:rsidP="00D45950">
      <w:pPr>
        <w:pStyle w:val="Teksttreci0"/>
        <w:shd w:val="clear" w:color="auto" w:fill="auto"/>
        <w:spacing w:after="500" w:line="396" w:lineRule="auto"/>
        <w:jc w:val="both"/>
        <w:rPr>
          <w:color w:val="3B3B3B"/>
          <w:sz w:val="28"/>
          <w:szCs w:val="28"/>
        </w:rPr>
      </w:pPr>
      <w:r w:rsidRPr="00A03FFC">
        <w:rPr>
          <w:color w:val="3B3B3B"/>
          <w:sz w:val="28"/>
          <w:szCs w:val="28"/>
        </w:rPr>
        <w:t xml:space="preserve">Analizę sytuacji </w:t>
      </w:r>
      <w:proofErr w:type="spellStart"/>
      <w:r w:rsidRPr="00A03FFC">
        <w:rPr>
          <w:color w:val="3B3B3B"/>
          <w:sz w:val="28"/>
          <w:szCs w:val="28"/>
        </w:rPr>
        <w:t>ekonomiczno</w:t>
      </w:r>
      <w:proofErr w:type="spellEnd"/>
      <w:r w:rsidRPr="00A03FFC">
        <w:rPr>
          <w:color w:val="3B3B3B"/>
          <w:sz w:val="28"/>
          <w:szCs w:val="28"/>
        </w:rPr>
        <w:t xml:space="preserve"> </w:t>
      </w:r>
      <w:r w:rsidRPr="00A03FFC">
        <w:rPr>
          <w:color w:val="606060"/>
          <w:sz w:val="28"/>
          <w:szCs w:val="28"/>
        </w:rPr>
        <w:t xml:space="preserve">- </w:t>
      </w:r>
      <w:r w:rsidRPr="00A03FFC">
        <w:rPr>
          <w:color w:val="3B3B3B"/>
          <w:sz w:val="28"/>
          <w:szCs w:val="28"/>
        </w:rPr>
        <w:t xml:space="preserve">finansowej </w:t>
      </w:r>
      <w:r w:rsidR="00C85BB7" w:rsidRPr="00A03FFC">
        <w:rPr>
          <w:color w:val="3B3B3B"/>
          <w:sz w:val="28"/>
          <w:szCs w:val="28"/>
        </w:rPr>
        <w:t xml:space="preserve"> Samodzielnego </w:t>
      </w:r>
      <w:r w:rsidRPr="00A03FFC">
        <w:rPr>
          <w:color w:val="3B3B3B"/>
          <w:sz w:val="28"/>
          <w:szCs w:val="28"/>
        </w:rPr>
        <w:t xml:space="preserve">Szpitala </w:t>
      </w:r>
      <w:r w:rsidR="00C85BB7" w:rsidRPr="00A03FFC">
        <w:rPr>
          <w:color w:val="3B3B3B"/>
          <w:sz w:val="28"/>
          <w:szCs w:val="28"/>
        </w:rPr>
        <w:t xml:space="preserve"> Miejskiego im. PCK w Białymstoku</w:t>
      </w:r>
      <w:r w:rsidRPr="00A03FFC">
        <w:rPr>
          <w:color w:val="3B3B3B"/>
          <w:sz w:val="28"/>
          <w:szCs w:val="28"/>
        </w:rPr>
        <w:t xml:space="preserve"> za rok 201</w:t>
      </w:r>
      <w:r w:rsidR="007C0290">
        <w:rPr>
          <w:color w:val="3B3B3B"/>
          <w:sz w:val="28"/>
          <w:szCs w:val="28"/>
        </w:rPr>
        <w:t>9</w:t>
      </w:r>
      <w:r w:rsidRPr="00A03FFC">
        <w:rPr>
          <w:color w:val="3B3B3B"/>
          <w:sz w:val="28"/>
          <w:szCs w:val="28"/>
        </w:rPr>
        <w:t xml:space="preserve"> i na lata 20</w:t>
      </w:r>
      <w:r w:rsidR="007C0290">
        <w:rPr>
          <w:color w:val="3B3B3B"/>
          <w:sz w:val="28"/>
          <w:szCs w:val="28"/>
        </w:rPr>
        <w:t>20</w:t>
      </w:r>
      <w:r w:rsidRPr="00A03FFC">
        <w:rPr>
          <w:color w:val="606060"/>
          <w:sz w:val="28"/>
          <w:szCs w:val="28"/>
        </w:rPr>
        <w:t xml:space="preserve">- </w:t>
      </w:r>
      <w:r w:rsidRPr="00A03FFC">
        <w:rPr>
          <w:color w:val="3B3B3B"/>
          <w:sz w:val="28"/>
          <w:szCs w:val="28"/>
        </w:rPr>
        <w:t>20</w:t>
      </w:r>
      <w:r w:rsidR="00C85BB7" w:rsidRPr="00A03FFC">
        <w:rPr>
          <w:color w:val="3B3B3B"/>
          <w:sz w:val="28"/>
          <w:szCs w:val="28"/>
        </w:rPr>
        <w:t>2</w:t>
      </w:r>
      <w:r w:rsidR="007C0290">
        <w:rPr>
          <w:color w:val="3B3B3B"/>
          <w:sz w:val="28"/>
          <w:szCs w:val="28"/>
        </w:rPr>
        <w:t xml:space="preserve">2 </w:t>
      </w:r>
      <w:r w:rsidRPr="00A03FFC">
        <w:rPr>
          <w:color w:val="3B3B3B"/>
          <w:sz w:val="28"/>
          <w:szCs w:val="28"/>
        </w:rPr>
        <w:t>dokonan</w:t>
      </w:r>
      <w:r w:rsidR="007C0290">
        <w:rPr>
          <w:color w:val="3B3B3B"/>
          <w:sz w:val="28"/>
          <w:szCs w:val="28"/>
        </w:rPr>
        <w:t>o</w:t>
      </w:r>
      <w:r w:rsidRPr="00A03FFC">
        <w:rPr>
          <w:color w:val="3B3B3B"/>
          <w:sz w:val="28"/>
          <w:szCs w:val="28"/>
        </w:rPr>
        <w:t xml:space="preserve"> na podstawie Rozporządzenia Ministra Zdrowia z dnia 12 kwietnia 2017 r. w sprawie wskaźników ekonomiczno-finansowych niezbędnych do sporządzenia analizy </w:t>
      </w:r>
      <w:r w:rsidRPr="00A03FFC">
        <w:rPr>
          <w:color w:val="3B3B3B"/>
          <w:sz w:val="28"/>
          <w:szCs w:val="28"/>
        </w:rPr>
        <w:lastRenderedPageBreak/>
        <w:t>oraz prognozy sytuacji ekonomiczno-finansowej samodzielnych publicznych zakładów opieki zdrowotnej, uwzględniającą powyższe założenia</w:t>
      </w:r>
      <w:r w:rsidR="00CF0AF9">
        <w:rPr>
          <w:color w:val="3B3B3B"/>
          <w:sz w:val="28"/>
          <w:szCs w:val="28"/>
        </w:rPr>
        <w:t>.</w:t>
      </w:r>
    </w:p>
    <w:p w:rsidR="005B3B22" w:rsidRPr="00D45950" w:rsidRDefault="005B3B22">
      <w:pPr>
        <w:spacing w:line="1" w:lineRule="exact"/>
        <w:rPr>
          <w:rFonts w:ascii="Times New Roman" w:hAnsi="Times New Roman" w:cs="Times New Roman"/>
        </w:rPr>
      </w:pPr>
    </w:p>
    <w:p w:rsidR="005B3B22" w:rsidRPr="00D45950" w:rsidRDefault="005B3B22">
      <w:pPr>
        <w:spacing w:line="1" w:lineRule="exact"/>
        <w:rPr>
          <w:rFonts w:ascii="Times New Roman" w:hAnsi="Times New Roman" w:cs="Times New Roman"/>
        </w:rPr>
      </w:pPr>
    </w:p>
    <w:p w:rsidR="005B3B22" w:rsidRPr="00D45950" w:rsidRDefault="005B3B22">
      <w:pPr>
        <w:spacing w:line="1" w:lineRule="exact"/>
        <w:rPr>
          <w:rFonts w:ascii="Times New Roman" w:hAnsi="Times New Roman" w:cs="Times New Roman"/>
        </w:rPr>
      </w:pPr>
    </w:p>
    <w:p w:rsidR="005B3B22" w:rsidRPr="00D45950" w:rsidRDefault="005B3B22">
      <w:pPr>
        <w:spacing w:line="1" w:lineRule="exact"/>
        <w:rPr>
          <w:rFonts w:ascii="Times New Roman" w:hAnsi="Times New Roman" w:cs="Times New Roman"/>
        </w:rPr>
      </w:pPr>
    </w:p>
    <w:p w:rsidR="005B3B22" w:rsidRPr="00D45950" w:rsidRDefault="005B3B22">
      <w:pPr>
        <w:spacing w:line="1" w:lineRule="exact"/>
        <w:rPr>
          <w:rFonts w:ascii="Times New Roman" w:hAnsi="Times New Roman" w:cs="Times New Roman"/>
        </w:rPr>
      </w:pPr>
    </w:p>
    <w:p w:rsidR="005B3B22" w:rsidRPr="00D45950" w:rsidRDefault="005B3B22">
      <w:pPr>
        <w:spacing w:line="1" w:lineRule="exact"/>
        <w:rPr>
          <w:rFonts w:ascii="Times New Roman" w:hAnsi="Times New Roman" w:cs="Times New Roman"/>
        </w:rPr>
      </w:pPr>
    </w:p>
    <w:p w:rsidR="005B3B22" w:rsidRDefault="005B3B22" w:rsidP="00DB79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  <w:r w:rsidRPr="00A03FFC">
        <w:rPr>
          <w:rFonts w:ascii="Times New Roman" w:hAnsi="Times New Roman" w:cs="Times New Roman"/>
          <w:sz w:val="28"/>
          <w:szCs w:val="28"/>
        </w:rPr>
        <w:t xml:space="preserve">   </w:t>
      </w:r>
      <w:r w:rsidR="00DB792B" w:rsidRPr="00A03FF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3FFC">
        <w:rPr>
          <w:rFonts w:ascii="Times New Roman" w:hAnsi="Times New Roman" w:cs="Times New Roman"/>
          <w:sz w:val="28"/>
          <w:szCs w:val="28"/>
        </w:rPr>
        <w:t xml:space="preserve"> Sukces programu restrukturyzacyjnego i osiągniecia po jego zakończeniu</w:t>
      </w:r>
      <w:r w:rsidR="00685B7C" w:rsidRPr="00A03FFC">
        <w:rPr>
          <w:rFonts w:ascii="Times New Roman" w:hAnsi="Times New Roman" w:cs="Times New Roman"/>
          <w:sz w:val="28"/>
          <w:szCs w:val="28"/>
        </w:rPr>
        <w:t>,</w:t>
      </w:r>
      <w:r w:rsidR="00F34AE1" w:rsidRPr="00A03FFC">
        <w:rPr>
          <w:rFonts w:ascii="Times New Roman" w:hAnsi="Times New Roman" w:cs="Times New Roman"/>
          <w:sz w:val="28"/>
          <w:szCs w:val="28"/>
        </w:rPr>
        <w:t xml:space="preserve">  sytuacja </w:t>
      </w:r>
      <w:proofErr w:type="spellStart"/>
      <w:r w:rsidR="00F34AE1" w:rsidRPr="00A03FFC">
        <w:rPr>
          <w:rFonts w:ascii="Times New Roman" w:hAnsi="Times New Roman" w:cs="Times New Roman"/>
          <w:sz w:val="28"/>
          <w:szCs w:val="28"/>
        </w:rPr>
        <w:t>ekonomiczno</w:t>
      </w:r>
      <w:proofErr w:type="spellEnd"/>
      <w:r w:rsidRPr="00A03FFC">
        <w:rPr>
          <w:rFonts w:ascii="Times New Roman" w:hAnsi="Times New Roman" w:cs="Times New Roman"/>
          <w:sz w:val="28"/>
          <w:szCs w:val="28"/>
        </w:rPr>
        <w:t xml:space="preserve"> -</w:t>
      </w:r>
      <w:r w:rsidR="00F34AE1" w:rsidRPr="00A03FFC">
        <w:rPr>
          <w:rFonts w:ascii="Times New Roman" w:hAnsi="Times New Roman" w:cs="Times New Roman"/>
          <w:sz w:val="28"/>
          <w:szCs w:val="28"/>
        </w:rPr>
        <w:t xml:space="preserve"> </w:t>
      </w:r>
      <w:r w:rsidRPr="00A03FFC">
        <w:rPr>
          <w:rFonts w:ascii="Times New Roman" w:hAnsi="Times New Roman" w:cs="Times New Roman"/>
          <w:sz w:val="28"/>
          <w:szCs w:val="28"/>
        </w:rPr>
        <w:t>finansowa uwarunkowana jest w dużej mierze od czynników zewnętrznych.</w:t>
      </w:r>
    </w:p>
    <w:p w:rsidR="00702415" w:rsidRDefault="00702415" w:rsidP="00DB7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415" w:rsidRDefault="00702415" w:rsidP="00DB7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415" w:rsidRDefault="00702415" w:rsidP="00DB79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2415" w:rsidSect="00FF25D4">
      <w:pgSz w:w="11900" w:h="16840"/>
      <w:pgMar w:top="1396" w:right="1338" w:bottom="1674" w:left="1532" w:header="9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8A" w:rsidRDefault="00654C8A">
      <w:r>
        <w:separator/>
      </w:r>
    </w:p>
  </w:endnote>
  <w:endnote w:type="continuationSeparator" w:id="0">
    <w:p w:rsidR="00654C8A" w:rsidRDefault="0065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8A" w:rsidRDefault="00654C8A"/>
  </w:footnote>
  <w:footnote w:type="continuationSeparator" w:id="0">
    <w:p w:rsidR="00654C8A" w:rsidRDefault="00654C8A"/>
  </w:footnote>
  <w:footnote w:id="1">
    <w:p w:rsidR="00A60995" w:rsidRDefault="00A60995" w:rsidP="006E56C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t>*</w:t>
      </w:r>
      <w:r>
        <w:tab/>
      </w:r>
    </w:p>
  </w:footnote>
  <w:footnote w:id="2">
    <w:p w:rsidR="00A60995" w:rsidRDefault="00A60995" w:rsidP="006E56C1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D002D"/>
    <w:multiLevelType w:val="multilevel"/>
    <w:tmpl w:val="D624E2C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4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9B7623"/>
    <w:multiLevelType w:val="multilevel"/>
    <w:tmpl w:val="593CA7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4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84B4673"/>
    <w:multiLevelType w:val="hybridMultilevel"/>
    <w:tmpl w:val="1642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1515"/>
    <w:multiLevelType w:val="multilevel"/>
    <w:tmpl w:val="1C8CB1B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9393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6A7578"/>
    <w:multiLevelType w:val="multilevel"/>
    <w:tmpl w:val="BF6ABB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B3B3B"/>
        <w:spacing w:val="0"/>
        <w:w w:val="100"/>
        <w:position w:val="0"/>
        <w:sz w:val="24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5D757F9"/>
    <w:multiLevelType w:val="hybridMultilevel"/>
    <w:tmpl w:val="10F29590"/>
    <w:lvl w:ilvl="0" w:tplc="BAEEB87C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 w15:restartNumberingAfterBreak="0">
    <w:nsid w:val="5F7C5A2E"/>
    <w:multiLevelType w:val="multilevel"/>
    <w:tmpl w:val="13B66F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93939"/>
        <w:spacing w:val="0"/>
        <w:w w:val="100"/>
        <w:position w:val="0"/>
        <w:sz w:val="24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A9E7EAB"/>
    <w:multiLevelType w:val="multilevel"/>
    <w:tmpl w:val="9C4CB5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4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FF"/>
    <w:rsid w:val="00002A7D"/>
    <w:rsid w:val="00042281"/>
    <w:rsid w:val="000558FD"/>
    <w:rsid w:val="00086450"/>
    <w:rsid w:val="000976D2"/>
    <w:rsid w:val="000A0F0F"/>
    <w:rsid w:val="000B1CEC"/>
    <w:rsid w:val="000D5F51"/>
    <w:rsid w:val="000F36F1"/>
    <w:rsid w:val="000F4929"/>
    <w:rsid w:val="00117C91"/>
    <w:rsid w:val="00117CD4"/>
    <w:rsid w:val="001259AF"/>
    <w:rsid w:val="00141CFD"/>
    <w:rsid w:val="00155D9D"/>
    <w:rsid w:val="00156293"/>
    <w:rsid w:val="001628A4"/>
    <w:rsid w:val="00191440"/>
    <w:rsid w:val="001E0554"/>
    <w:rsid w:val="00242C2A"/>
    <w:rsid w:val="00253888"/>
    <w:rsid w:val="0029172B"/>
    <w:rsid w:val="00294167"/>
    <w:rsid w:val="002A1BF4"/>
    <w:rsid w:val="002A6099"/>
    <w:rsid w:val="002C1887"/>
    <w:rsid w:val="003038DE"/>
    <w:rsid w:val="00347890"/>
    <w:rsid w:val="0037309F"/>
    <w:rsid w:val="00390850"/>
    <w:rsid w:val="0039689C"/>
    <w:rsid w:val="003B02CA"/>
    <w:rsid w:val="003C18AE"/>
    <w:rsid w:val="003D31A2"/>
    <w:rsid w:val="003D5BD2"/>
    <w:rsid w:val="003D7DE8"/>
    <w:rsid w:val="00405ECB"/>
    <w:rsid w:val="00413890"/>
    <w:rsid w:val="00434CD6"/>
    <w:rsid w:val="004958AA"/>
    <w:rsid w:val="00523CFC"/>
    <w:rsid w:val="0054767A"/>
    <w:rsid w:val="0059593A"/>
    <w:rsid w:val="005A412C"/>
    <w:rsid w:val="005B3B22"/>
    <w:rsid w:val="005C4181"/>
    <w:rsid w:val="005C4574"/>
    <w:rsid w:val="005F2843"/>
    <w:rsid w:val="00654C8A"/>
    <w:rsid w:val="0067587F"/>
    <w:rsid w:val="00685B7C"/>
    <w:rsid w:val="00686AF6"/>
    <w:rsid w:val="00692B60"/>
    <w:rsid w:val="006936F7"/>
    <w:rsid w:val="006B13F8"/>
    <w:rsid w:val="006B1425"/>
    <w:rsid w:val="006C28F9"/>
    <w:rsid w:val="006E56C1"/>
    <w:rsid w:val="00702415"/>
    <w:rsid w:val="007272C5"/>
    <w:rsid w:val="0073636D"/>
    <w:rsid w:val="0076153A"/>
    <w:rsid w:val="00761801"/>
    <w:rsid w:val="00767D69"/>
    <w:rsid w:val="007733BC"/>
    <w:rsid w:val="0077770B"/>
    <w:rsid w:val="007815E5"/>
    <w:rsid w:val="007C0290"/>
    <w:rsid w:val="007D7DFB"/>
    <w:rsid w:val="007E27DA"/>
    <w:rsid w:val="007F06DA"/>
    <w:rsid w:val="007F6B26"/>
    <w:rsid w:val="008156C0"/>
    <w:rsid w:val="0081798D"/>
    <w:rsid w:val="008240B7"/>
    <w:rsid w:val="00834BA5"/>
    <w:rsid w:val="00841F71"/>
    <w:rsid w:val="00851302"/>
    <w:rsid w:val="00890553"/>
    <w:rsid w:val="008C2CCE"/>
    <w:rsid w:val="008C5FBA"/>
    <w:rsid w:val="008F1DED"/>
    <w:rsid w:val="008F51A0"/>
    <w:rsid w:val="008F7CB7"/>
    <w:rsid w:val="00920E0F"/>
    <w:rsid w:val="00923135"/>
    <w:rsid w:val="00940001"/>
    <w:rsid w:val="00940348"/>
    <w:rsid w:val="00983B90"/>
    <w:rsid w:val="009A5458"/>
    <w:rsid w:val="009B7B94"/>
    <w:rsid w:val="009D7D02"/>
    <w:rsid w:val="009E66C1"/>
    <w:rsid w:val="00A03FFC"/>
    <w:rsid w:val="00A154E5"/>
    <w:rsid w:val="00A27776"/>
    <w:rsid w:val="00A500CD"/>
    <w:rsid w:val="00A60995"/>
    <w:rsid w:val="00A6556A"/>
    <w:rsid w:val="00A70809"/>
    <w:rsid w:val="00AB2E6E"/>
    <w:rsid w:val="00AC3DE1"/>
    <w:rsid w:val="00AC69C7"/>
    <w:rsid w:val="00AE08EA"/>
    <w:rsid w:val="00B32164"/>
    <w:rsid w:val="00B32EC1"/>
    <w:rsid w:val="00B445BA"/>
    <w:rsid w:val="00B679B0"/>
    <w:rsid w:val="00B72298"/>
    <w:rsid w:val="00BB5906"/>
    <w:rsid w:val="00BC134B"/>
    <w:rsid w:val="00BD117A"/>
    <w:rsid w:val="00C0544C"/>
    <w:rsid w:val="00C06069"/>
    <w:rsid w:val="00C10694"/>
    <w:rsid w:val="00C3544C"/>
    <w:rsid w:val="00C57662"/>
    <w:rsid w:val="00C64267"/>
    <w:rsid w:val="00C81E05"/>
    <w:rsid w:val="00C85BB7"/>
    <w:rsid w:val="00CA1B5C"/>
    <w:rsid w:val="00CB4245"/>
    <w:rsid w:val="00CC20F7"/>
    <w:rsid w:val="00CC4454"/>
    <w:rsid w:val="00CC5A49"/>
    <w:rsid w:val="00CF0AF9"/>
    <w:rsid w:val="00D11FBA"/>
    <w:rsid w:val="00D210FB"/>
    <w:rsid w:val="00D33F62"/>
    <w:rsid w:val="00D45950"/>
    <w:rsid w:val="00D52620"/>
    <w:rsid w:val="00D66EB1"/>
    <w:rsid w:val="00D76AFE"/>
    <w:rsid w:val="00D937E8"/>
    <w:rsid w:val="00DA39B4"/>
    <w:rsid w:val="00DB792B"/>
    <w:rsid w:val="00DC3F7A"/>
    <w:rsid w:val="00DD637E"/>
    <w:rsid w:val="00DD71FF"/>
    <w:rsid w:val="00E43BB9"/>
    <w:rsid w:val="00E56BEC"/>
    <w:rsid w:val="00E8024F"/>
    <w:rsid w:val="00E832D7"/>
    <w:rsid w:val="00E96ED2"/>
    <w:rsid w:val="00EA7DED"/>
    <w:rsid w:val="00ED17CE"/>
    <w:rsid w:val="00EF3DD5"/>
    <w:rsid w:val="00F10279"/>
    <w:rsid w:val="00F1354A"/>
    <w:rsid w:val="00F34AE1"/>
    <w:rsid w:val="00F4744C"/>
    <w:rsid w:val="00F664B4"/>
    <w:rsid w:val="00F70906"/>
    <w:rsid w:val="00FB4052"/>
    <w:rsid w:val="00FC604B"/>
    <w:rsid w:val="00FD5D95"/>
    <w:rsid w:val="00FE5107"/>
    <w:rsid w:val="00FF25D4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ABBFD-E53F-4B07-BED3-7FCB85A9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E56C1"/>
    <w:pPr>
      <w:keepNext/>
      <w:numPr>
        <w:numId w:val="9"/>
      </w:numPr>
      <w:suppressAutoHyphens/>
      <w:jc w:val="center"/>
      <w:outlineLvl w:val="0"/>
    </w:pPr>
    <w:rPr>
      <w:rFonts w:ascii="Times New Roman" w:eastAsia="Lucida Sans Unicode" w:hAnsi="Times New Roman" w:cs="Times New Roman"/>
      <w:b/>
      <w:color w:val="auto"/>
      <w:kern w:val="1"/>
      <w:sz w:val="1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qFormat/>
    <w:rsid w:val="006E56C1"/>
    <w:pPr>
      <w:keepNext/>
      <w:numPr>
        <w:ilvl w:val="2"/>
        <w:numId w:val="9"/>
      </w:numPr>
      <w:suppressAutoHyphens/>
      <w:jc w:val="center"/>
      <w:outlineLvl w:val="2"/>
    </w:pPr>
    <w:rPr>
      <w:rFonts w:ascii="Times New Roman" w:eastAsia="Lucida Sans Unicode" w:hAnsi="Times New Roman" w:cs="Times New Roman"/>
      <w:b/>
      <w:bCs/>
      <w:color w:val="auto"/>
      <w:kern w:val="1"/>
      <w:sz w:val="28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qFormat/>
    <w:rsid w:val="006E56C1"/>
    <w:pPr>
      <w:keepNext/>
      <w:numPr>
        <w:ilvl w:val="3"/>
        <w:numId w:val="9"/>
      </w:numPr>
      <w:suppressAutoHyphens/>
      <w:outlineLvl w:val="3"/>
    </w:pPr>
    <w:rPr>
      <w:rFonts w:ascii="Times New Roman" w:eastAsia="Lucida Sans Unicode" w:hAnsi="Times New Roman" w:cs="Times New Roman"/>
      <w:b/>
      <w:bCs/>
      <w:i/>
      <w:color w:val="FF0000"/>
      <w:kern w:val="1"/>
      <w:sz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383838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B3B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color w:val="757575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color w:val="757575"/>
      <w:w w:val="80"/>
      <w:sz w:val="17"/>
      <w:szCs w:val="17"/>
      <w:u w:val="none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620"/>
      <w:ind w:firstLine="260"/>
      <w:outlineLvl w:val="0"/>
    </w:pPr>
    <w:rPr>
      <w:rFonts w:ascii="Times New Roman" w:eastAsia="Times New Roman" w:hAnsi="Times New Roman" w:cs="Times New Roman"/>
      <w:smallCaps/>
      <w:color w:val="383838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 w:line="377" w:lineRule="auto"/>
    </w:pPr>
    <w:rPr>
      <w:rFonts w:ascii="Times New Roman" w:eastAsia="Times New Roman" w:hAnsi="Times New Roman" w:cs="Times New Roman"/>
      <w:color w:val="3C3C3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80"/>
      <w:outlineLvl w:val="1"/>
    </w:pPr>
    <w:rPr>
      <w:rFonts w:ascii="Times New Roman" w:eastAsia="Times New Roman" w:hAnsi="Times New Roman" w:cs="Times New Roman"/>
      <w:b/>
      <w:bCs/>
      <w:color w:val="3C3C3C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color w:val="3B3B3B"/>
      <w:sz w:val="19"/>
      <w:szCs w:val="19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20" w:line="377" w:lineRule="auto"/>
    </w:pPr>
    <w:rPr>
      <w:rFonts w:ascii="Times New Roman" w:eastAsia="Times New Roman" w:hAnsi="Times New Roman" w:cs="Times New Roman"/>
      <w:color w:val="3C3C3C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04" w:lineRule="auto"/>
      <w:ind w:firstLine="180"/>
    </w:pPr>
    <w:rPr>
      <w:rFonts w:ascii="Arial" w:eastAsia="Arial" w:hAnsi="Arial" w:cs="Arial"/>
      <w:color w:val="757575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i/>
      <w:iCs/>
      <w:color w:val="757575"/>
      <w:w w:val="80"/>
      <w:sz w:val="17"/>
      <w:szCs w:val="17"/>
    </w:rPr>
  </w:style>
  <w:style w:type="paragraph" w:styleId="Nagwek">
    <w:name w:val="header"/>
    <w:basedOn w:val="Normalny"/>
    <w:link w:val="NagwekZnak"/>
    <w:unhideWhenUsed/>
    <w:rsid w:val="0030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8D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0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8D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6A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024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E56C1"/>
    <w:rPr>
      <w:rFonts w:ascii="Times New Roman" w:eastAsia="Lucida Sans Unicode" w:hAnsi="Times New Roman" w:cs="Times New Roman"/>
      <w:b/>
      <w:kern w:val="1"/>
      <w:sz w:val="18"/>
      <w:lang w:val="x-none" w:eastAsia="x-none" w:bidi="ar-SA"/>
    </w:rPr>
  </w:style>
  <w:style w:type="character" w:customStyle="1" w:styleId="Nagwek3Znak">
    <w:name w:val="Nagłówek 3 Znak"/>
    <w:basedOn w:val="Domylnaczcionkaakapitu"/>
    <w:link w:val="Nagwek3"/>
    <w:rsid w:val="006E56C1"/>
    <w:rPr>
      <w:rFonts w:ascii="Times New Roman" w:eastAsia="Lucida Sans Unicode" w:hAnsi="Times New Roman" w:cs="Times New Roman"/>
      <w:b/>
      <w:bCs/>
      <w:kern w:val="1"/>
      <w:sz w:val="28"/>
      <w:lang w:val="x-none" w:eastAsia="x-none" w:bidi="ar-SA"/>
    </w:rPr>
  </w:style>
  <w:style w:type="character" w:customStyle="1" w:styleId="Nagwek4Znak">
    <w:name w:val="Nagłówek 4 Znak"/>
    <w:basedOn w:val="Domylnaczcionkaakapitu"/>
    <w:link w:val="Nagwek4"/>
    <w:rsid w:val="006E56C1"/>
    <w:rPr>
      <w:rFonts w:ascii="Times New Roman" w:eastAsia="Lucida Sans Unicode" w:hAnsi="Times New Roman" w:cs="Times New Roman"/>
      <w:b/>
      <w:bCs/>
      <w:i/>
      <w:color w:val="FF0000"/>
      <w:kern w:val="1"/>
      <w:sz w:val="20"/>
      <w:lang w:val="x-none" w:eastAsia="x-none" w:bidi="ar-SA"/>
    </w:rPr>
  </w:style>
  <w:style w:type="numbering" w:customStyle="1" w:styleId="Bezlisty1">
    <w:name w:val="Bez listy1"/>
    <w:next w:val="Bezlisty"/>
    <w:uiPriority w:val="99"/>
    <w:semiHidden/>
    <w:unhideWhenUsed/>
    <w:rsid w:val="006E56C1"/>
  </w:style>
  <w:style w:type="character" w:customStyle="1" w:styleId="Znakiprzypiswdolnych">
    <w:name w:val="Znaki przypisów dolnych"/>
    <w:rsid w:val="006E56C1"/>
  </w:style>
  <w:style w:type="character" w:styleId="Odwoanieprzypisudolnego">
    <w:name w:val="footnote reference"/>
    <w:rsid w:val="006E56C1"/>
    <w:rPr>
      <w:vertAlign w:val="superscript"/>
    </w:rPr>
  </w:style>
  <w:style w:type="character" w:customStyle="1" w:styleId="Znakinumeracji">
    <w:name w:val="Znaki numeracji"/>
    <w:rsid w:val="006E56C1"/>
  </w:style>
  <w:style w:type="character" w:styleId="Odwoanieprzypisukocowego">
    <w:name w:val="endnote reference"/>
    <w:rsid w:val="006E56C1"/>
    <w:rPr>
      <w:vertAlign w:val="superscript"/>
    </w:rPr>
  </w:style>
  <w:style w:type="character" w:customStyle="1" w:styleId="Znakiprzypiswkocowych">
    <w:name w:val="Znaki przypisów końcowych"/>
    <w:rsid w:val="006E56C1"/>
  </w:style>
  <w:style w:type="paragraph" w:styleId="Tekstpodstawowy">
    <w:name w:val="Body Text"/>
    <w:basedOn w:val="Normalny"/>
    <w:link w:val="TekstpodstawowyZnak"/>
    <w:rsid w:val="006E56C1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E56C1"/>
    <w:rPr>
      <w:rFonts w:ascii="Times New Roman" w:eastAsia="Lucida Sans Unicode" w:hAnsi="Times New Roman" w:cs="Times New Roman"/>
      <w:kern w:val="1"/>
      <w:lang w:bidi="ar-SA"/>
    </w:rPr>
  </w:style>
  <w:style w:type="paragraph" w:styleId="Lista">
    <w:name w:val="List"/>
    <w:basedOn w:val="Tekstpodstawowy"/>
    <w:rsid w:val="006E56C1"/>
    <w:rPr>
      <w:rFonts w:cs="Tahoma"/>
    </w:rPr>
  </w:style>
  <w:style w:type="paragraph" w:customStyle="1" w:styleId="Podpis1">
    <w:name w:val="Podpis1"/>
    <w:basedOn w:val="Normalny"/>
    <w:rsid w:val="006E56C1"/>
    <w:pPr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color w:val="auto"/>
      <w:kern w:val="1"/>
      <w:lang w:bidi="ar-SA"/>
    </w:rPr>
  </w:style>
  <w:style w:type="paragraph" w:customStyle="1" w:styleId="Indeks">
    <w:name w:val="Indeks"/>
    <w:basedOn w:val="Normalny"/>
    <w:rsid w:val="006E56C1"/>
    <w:pPr>
      <w:suppressLineNumbers/>
      <w:suppressAutoHyphens/>
    </w:pPr>
    <w:rPr>
      <w:rFonts w:ascii="Times New Roman" w:eastAsia="Lucida Sans Unicode" w:hAnsi="Times New Roman" w:cs="Tahoma"/>
      <w:color w:val="auto"/>
      <w:kern w:val="1"/>
      <w:lang w:bidi="ar-SA"/>
    </w:rPr>
  </w:style>
  <w:style w:type="paragraph" w:styleId="Tekstprzypisudolnego">
    <w:name w:val="footnote text"/>
    <w:basedOn w:val="Normalny"/>
    <w:link w:val="TekstprzypisudolnegoZnak"/>
    <w:rsid w:val="006E56C1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color w:val="auto"/>
      <w:kern w:val="1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56C1"/>
    <w:rPr>
      <w:rFonts w:ascii="Times New Roman" w:eastAsia="Lucida Sans Unicode" w:hAnsi="Times New Roman" w:cs="Times New Roman"/>
      <w:kern w:val="1"/>
      <w:sz w:val="20"/>
      <w:szCs w:val="20"/>
      <w:lang w:bidi="ar-SA"/>
    </w:rPr>
  </w:style>
  <w:style w:type="paragraph" w:customStyle="1" w:styleId="Zawartotabeli">
    <w:name w:val="Zawartość tabeli"/>
    <w:basedOn w:val="Normalny"/>
    <w:rsid w:val="006E56C1"/>
    <w:pPr>
      <w:suppressLineNumbers/>
      <w:suppressAutoHyphens/>
    </w:pPr>
    <w:rPr>
      <w:rFonts w:ascii="Times New Roman" w:eastAsia="Lucida Sans Unicode" w:hAnsi="Times New Roman" w:cs="Times New Roman"/>
      <w:color w:val="auto"/>
      <w:kern w:val="1"/>
      <w:lang w:bidi="ar-SA"/>
    </w:rPr>
  </w:style>
  <w:style w:type="paragraph" w:customStyle="1" w:styleId="Nagwektabeli">
    <w:name w:val="Nagłówek tabeli"/>
    <w:basedOn w:val="Zawartotabeli"/>
    <w:rsid w:val="006E56C1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E56C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13</Pages>
  <Words>3550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Księgowość</cp:lastModifiedBy>
  <cp:revision>44</cp:revision>
  <cp:lastPrinted>2020-02-20T09:03:00Z</cp:lastPrinted>
  <dcterms:created xsi:type="dcterms:W3CDTF">2019-09-26T07:56:00Z</dcterms:created>
  <dcterms:modified xsi:type="dcterms:W3CDTF">2020-05-27T10:36:00Z</dcterms:modified>
</cp:coreProperties>
</file>